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E801C" w14:textId="68C4A983" w:rsidR="00C67797" w:rsidRPr="00194C21" w:rsidRDefault="00194C21" w:rsidP="00194C21">
      <w:pPr>
        <w:pStyle w:val="Title"/>
        <w:jc w:val="center"/>
        <w:rPr>
          <w:rFonts w:ascii="Arial" w:hAnsi="Arial" w:cs="Arial"/>
          <w:sz w:val="40"/>
        </w:rPr>
      </w:pPr>
      <w:r w:rsidRPr="00194C21">
        <w:rPr>
          <w:rFonts w:ascii="Arial" w:hAnsi="Arial" w:cs="Arial"/>
          <w:sz w:val="40"/>
        </w:rPr>
        <w:t>Academic Language and Literacy for Mathematics</w:t>
      </w:r>
      <w:r>
        <w:rPr>
          <w:rFonts w:ascii="Arial" w:hAnsi="Arial" w:cs="Arial"/>
          <w:sz w:val="40"/>
        </w:rPr>
        <w:t xml:space="preserve"> Dissertations</w:t>
      </w:r>
    </w:p>
    <w:p w14:paraId="237FBFEA" w14:textId="67F2D3B8" w:rsidR="004270C6" w:rsidRPr="004E324E" w:rsidRDefault="00194C21" w:rsidP="00A22BD8">
      <w:pPr>
        <w:pStyle w:val="Heading1"/>
        <w:jc w:val="center"/>
        <w:rPr>
          <w:rFonts w:ascii="Arial" w:hAnsi="Arial" w:cs="Arial"/>
          <w:sz w:val="22"/>
        </w:rPr>
      </w:pPr>
      <w:r>
        <w:rPr>
          <w:rFonts w:ascii="Arial" w:hAnsi="Arial" w:cs="Arial"/>
        </w:rPr>
        <w:t xml:space="preserve">Session 2: </w:t>
      </w:r>
      <w:proofErr w:type="spellStart"/>
      <w:r>
        <w:rPr>
          <w:rFonts w:ascii="Arial" w:hAnsi="Arial" w:cs="Arial"/>
        </w:rPr>
        <w:t>SwDS</w:t>
      </w:r>
      <w:proofErr w:type="spellEnd"/>
      <w:r>
        <w:rPr>
          <w:rFonts w:ascii="Arial" w:hAnsi="Arial" w:cs="Arial"/>
        </w:rPr>
        <w:t xml:space="preserve"> Structure and Line of Argument</w:t>
      </w:r>
      <w:r w:rsidR="008B6E52">
        <w:rPr>
          <w:rFonts w:ascii="Arial" w:hAnsi="Arial" w:cs="Arial"/>
        </w:rPr>
        <w:t>: Answer Sheet</w:t>
      </w:r>
    </w:p>
    <w:p w14:paraId="5B1F9F89" w14:textId="69B116C1" w:rsidR="00A22BD8" w:rsidRPr="004E324E" w:rsidRDefault="008B6E52" w:rsidP="004270C6">
      <w:pPr>
        <w:rPr>
          <w:rFonts w:ascii="Arial" w:hAnsi="Arial" w:cs="Arial"/>
          <w:b/>
          <w:sz w:val="22"/>
          <w:szCs w:val="22"/>
        </w:rPr>
      </w:pPr>
      <w:r w:rsidRPr="004E324E">
        <w:rPr>
          <w:rFonts w:ascii="Arial" w:hAnsi="Arial" w:cs="Arial"/>
          <w:i/>
          <w:noProof/>
          <w:sz w:val="22"/>
          <w:szCs w:val="22"/>
          <w:lang w:eastAsia="en-GB"/>
        </w:rPr>
        <mc:AlternateContent>
          <mc:Choice Requires="wps">
            <w:drawing>
              <wp:anchor distT="45720" distB="45720" distL="114300" distR="114300" simplePos="0" relativeHeight="251672576" behindDoc="0" locked="0" layoutInCell="1" allowOverlap="1" wp14:anchorId="5462CB68" wp14:editId="4189E8D2">
                <wp:simplePos x="0" y="0"/>
                <wp:positionH relativeFrom="margin">
                  <wp:align>right</wp:align>
                </wp:positionH>
                <wp:positionV relativeFrom="paragraph">
                  <wp:posOffset>300990</wp:posOffset>
                </wp:positionV>
                <wp:extent cx="5643880" cy="855345"/>
                <wp:effectExtent l="0" t="0" r="139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855345"/>
                        </a:xfrm>
                        <a:prstGeom prst="rect">
                          <a:avLst/>
                        </a:prstGeom>
                        <a:ln w="3175">
                          <a:solidFill>
                            <a:schemeClr val="tx2">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14:paraId="3AB046F7" w14:textId="6623F7D3" w:rsidR="00A22BD8" w:rsidRPr="004E324E" w:rsidRDefault="00A22BD8" w:rsidP="00A22BD8">
                            <w:pPr>
                              <w:rPr>
                                <w:rFonts w:ascii="Arial" w:hAnsi="Arial" w:cs="Arial"/>
                                <w:i/>
                              </w:rPr>
                            </w:pPr>
                            <w:r w:rsidRPr="004E324E">
                              <w:rPr>
                                <w:rFonts w:ascii="Arial" w:hAnsi="Arial" w:cs="Arial"/>
                                <w:i/>
                              </w:rPr>
                              <w:t>This session will help you to</w:t>
                            </w:r>
                          </w:p>
                          <w:p w14:paraId="6469179F" w14:textId="39819FA4" w:rsidR="00A22BD8" w:rsidRDefault="00194C21" w:rsidP="00A22BD8">
                            <w:pPr>
                              <w:pStyle w:val="ListParagraph"/>
                              <w:numPr>
                                <w:ilvl w:val="0"/>
                                <w:numId w:val="1"/>
                              </w:numPr>
                              <w:rPr>
                                <w:sz w:val="24"/>
                                <w:szCs w:val="24"/>
                              </w:rPr>
                            </w:pPr>
                            <w:r>
                              <w:rPr>
                                <w:sz w:val="24"/>
                                <w:szCs w:val="24"/>
                              </w:rPr>
                              <w:t>Understand the report structure</w:t>
                            </w:r>
                          </w:p>
                          <w:p w14:paraId="3CD62A0C" w14:textId="350AA68E" w:rsidR="00194C21" w:rsidRDefault="00194C21" w:rsidP="00A22BD8">
                            <w:pPr>
                              <w:pStyle w:val="ListParagraph"/>
                              <w:numPr>
                                <w:ilvl w:val="0"/>
                                <w:numId w:val="1"/>
                              </w:numPr>
                              <w:rPr>
                                <w:sz w:val="24"/>
                                <w:szCs w:val="24"/>
                              </w:rPr>
                            </w:pPr>
                            <w:r>
                              <w:rPr>
                                <w:sz w:val="24"/>
                                <w:szCs w:val="24"/>
                              </w:rPr>
                              <w:t>Develop and communicate a central argument</w:t>
                            </w:r>
                          </w:p>
                          <w:p w14:paraId="74A46592" w14:textId="1D1ACB9B" w:rsidR="00194C21" w:rsidRPr="004E324E" w:rsidRDefault="00194C21" w:rsidP="00A22BD8">
                            <w:pPr>
                              <w:pStyle w:val="ListParagraph"/>
                              <w:numPr>
                                <w:ilvl w:val="0"/>
                                <w:numId w:val="1"/>
                              </w:numPr>
                              <w:rPr>
                                <w:sz w:val="24"/>
                                <w:szCs w:val="24"/>
                              </w:rPr>
                            </w:pPr>
                            <w:r>
                              <w:rPr>
                                <w:sz w:val="24"/>
                                <w:szCs w:val="24"/>
                              </w:rPr>
                              <w:t>Use appropriate language to clearly state your objective</w:t>
                            </w:r>
                          </w:p>
                          <w:p w14:paraId="2EBC132B" w14:textId="77777777" w:rsidR="00A22BD8" w:rsidRPr="00A22BD8" w:rsidRDefault="00A22BD8" w:rsidP="00A22BD8">
                            <w:pPr>
                              <w:rPr>
                                <w:rFonts w:ascii="Gadugi" w:hAnsi="Gadugi"/>
                                <w:sz w:val="22"/>
                                <w:szCs w:val="22"/>
                              </w:rPr>
                            </w:pPr>
                          </w:p>
                          <w:p w14:paraId="1013CD19" w14:textId="4687E333" w:rsidR="00A22BD8" w:rsidRDefault="00A22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2CB68" id="_x0000_t202" coordsize="21600,21600" o:spt="202" path="m,l,21600r21600,l21600,xe">
                <v:stroke joinstyle="miter"/>
                <v:path gradientshapeok="t" o:connecttype="rect"/>
              </v:shapetype>
              <v:shape id="Text Box 2" o:spid="_x0000_s1026" type="#_x0000_t202" style="position:absolute;margin-left:393.2pt;margin-top:23.7pt;width:444.4pt;height:67.3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" fillcolor="white [3201]" strokecolor="#548dd4 [1951]" strokeweight=".25pt">
                <v:textbox>
                  <w:txbxContent>
                    <w:p w14:paraId="3AB046F7" w14:textId="6623F7D3" w:rsidR="00A22BD8" w:rsidRPr="004E324E" w:rsidRDefault="00A22BD8" w:rsidP="00A22BD8">
                      <w:pPr>
                        <w:rPr>
                          <w:rFonts w:ascii="Arial" w:hAnsi="Arial" w:cs="Arial"/>
                          <w:i/>
                        </w:rPr>
                      </w:pPr>
                      <w:r w:rsidRPr="004E324E">
                        <w:rPr>
                          <w:rFonts w:ascii="Arial" w:hAnsi="Arial" w:cs="Arial"/>
                          <w:i/>
                        </w:rPr>
                        <w:t>This session will help you to</w:t>
                      </w:r>
                    </w:p>
                    <w:p w14:paraId="6469179F" w14:textId="39819FA4" w:rsidR="00A22BD8" w:rsidRDefault="00194C21" w:rsidP="00A22BD8">
                      <w:pPr>
                        <w:pStyle w:val="ListParagraph"/>
                        <w:numPr>
                          <w:ilvl w:val="0"/>
                          <w:numId w:val="1"/>
                        </w:numPr>
                        <w:rPr>
                          <w:sz w:val="24"/>
                          <w:szCs w:val="24"/>
                        </w:rPr>
                      </w:pPr>
                      <w:r>
                        <w:rPr>
                          <w:sz w:val="24"/>
                          <w:szCs w:val="24"/>
                        </w:rPr>
                        <w:t>Understand the report structure</w:t>
                      </w:r>
                    </w:p>
                    <w:p w14:paraId="3CD62A0C" w14:textId="350AA68E" w:rsidR="00194C21" w:rsidRDefault="00194C21" w:rsidP="00A22BD8">
                      <w:pPr>
                        <w:pStyle w:val="ListParagraph"/>
                        <w:numPr>
                          <w:ilvl w:val="0"/>
                          <w:numId w:val="1"/>
                        </w:numPr>
                        <w:rPr>
                          <w:sz w:val="24"/>
                          <w:szCs w:val="24"/>
                        </w:rPr>
                      </w:pPr>
                      <w:r>
                        <w:rPr>
                          <w:sz w:val="24"/>
                          <w:szCs w:val="24"/>
                        </w:rPr>
                        <w:t>Develop and communicate a central argument</w:t>
                      </w:r>
                    </w:p>
                    <w:p w14:paraId="74A46592" w14:textId="1D1ACB9B" w:rsidR="00194C21" w:rsidRPr="004E324E" w:rsidRDefault="00194C21" w:rsidP="00A22BD8">
                      <w:pPr>
                        <w:pStyle w:val="ListParagraph"/>
                        <w:numPr>
                          <w:ilvl w:val="0"/>
                          <w:numId w:val="1"/>
                        </w:numPr>
                        <w:rPr>
                          <w:sz w:val="24"/>
                          <w:szCs w:val="24"/>
                        </w:rPr>
                      </w:pPr>
                      <w:r>
                        <w:rPr>
                          <w:sz w:val="24"/>
                          <w:szCs w:val="24"/>
                        </w:rPr>
                        <w:t>Use appropriate language to clearly state your objective</w:t>
                      </w:r>
                    </w:p>
                    <w:p w14:paraId="2EBC132B" w14:textId="77777777" w:rsidR="00A22BD8" w:rsidRPr="00A22BD8" w:rsidRDefault="00A22BD8" w:rsidP="00A22BD8">
                      <w:pPr>
                        <w:rPr>
                          <w:rFonts w:ascii="Gadugi" w:hAnsi="Gadugi"/>
                          <w:sz w:val="22"/>
                          <w:szCs w:val="22"/>
                        </w:rPr>
                      </w:pPr>
                    </w:p>
                    <w:p w14:paraId="1013CD19" w14:textId="4687E333" w:rsidR="00A22BD8" w:rsidRDefault="00A22BD8"/>
                  </w:txbxContent>
                </v:textbox>
                <w10:wrap type="square" anchorx="margin"/>
              </v:shape>
            </w:pict>
          </mc:Fallback>
        </mc:AlternateContent>
      </w:r>
    </w:p>
    <w:p w14:paraId="1CFCE8F3" w14:textId="7D6BB7C7" w:rsidR="004270C6" w:rsidRPr="004E324E" w:rsidRDefault="00194C21" w:rsidP="008206D4">
      <w:pPr>
        <w:pStyle w:val="Heading2"/>
        <w:numPr>
          <w:ilvl w:val="0"/>
          <w:numId w:val="2"/>
        </w:numPr>
        <w:rPr>
          <w:rFonts w:ascii="Arial" w:hAnsi="Arial" w:cs="Arial"/>
        </w:rPr>
      </w:pPr>
      <w:r>
        <w:rPr>
          <w:rFonts w:ascii="Arial" w:hAnsi="Arial" w:cs="Arial"/>
        </w:rPr>
        <w:t xml:space="preserve">Defining a research territory </w:t>
      </w:r>
    </w:p>
    <w:p w14:paraId="7BBFBAFA" w14:textId="70A13FE8" w:rsidR="003C4902" w:rsidRPr="004E324E" w:rsidRDefault="003C4902" w:rsidP="004270C6">
      <w:pPr>
        <w:rPr>
          <w:rFonts w:ascii="Arial" w:hAnsi="Arial" w:cs="Arial"/>
          <w:b/>
          <w:sz w:val="22"/>
          <w:szCs w:val="22"/>
        </w:rPr>
      </w:pPr>
    </w:p>
    <w:p w14:paraId="4EDC1BF6" w14:textId="5E35F1ED" w:rsidR="00194C21" w:rsidRPr="00194C21" w:rsidRDefault="00194C21" w:rsidP="008206D4">
      <w:pPr>
        <w:pStyle w:val="ListParagraph"/>
        <w:numPr>
          <w:ilvl w:val="1"/>
          <w:numId w:val="6"/>
        </w:numPr>
      </w:pPr>
      <w:r w:rsidRPr="00194C21">
        <w:t>Analyse the research project introduction below. Identify the different stages of a typical introduction</w:t>
      </w:r>
    </w:p>
    <w:p w14:paraId="116A88CE" w14:textId="6DD4F20D" w:rsidR="00194C21" w:rsidRPr="00194C21" w:rsidRDefault="00194C21" w:rsidP="00194C21">
      <w:pPr>
        <w:pStyle w:val="ListParagraph"/>
        <w:numPr>
          <w:ilvl w:val="0"/>
          <w:numId w:val="0"/>
        </w:numPr>
        <w:ind w:left="400"/>
      </w:pPr>
    </w:p>
    <w:p w14:paraId="545C44EE" w14:textId="0E6BFEBE" w:rsidR="00194C21" w:rsidRPr="008B6E52" w:rsidRDefault="00194C21" w:rsidP="008206D4">
      <w:pPr>
        <w:pStyle w:val="ListParagraph"/>
        <w:numPr>
          <w:ilvl w:val="0"/>
          <w:numId w:val="4"/>
        </w:numPr>
        <w:rPr>
          <w:color w:val="00B050"/>
        </w:rPr>
      </w:pPr>
      <w:r w:rsidRPr="008B6E52">
        <w:rPr>
          <w:color w:val="00B050"/>
        </w:rPr>
        <w:t>Defining the research territory</w:t>
      </w:r>
    </w:p>
    <w:p w14:paraId="17D5A0CA" w14:textId="665798A1" w:rsidR="00194C21" w:rsidRPr="008B6E52" w:rsidRDefault="00194C21" w:rsidP="008206D4">
      <w:pPr>
        <w:pStyle w:val="ListParagraph"/>
        <w:numPr>
          <w:ilvl w:val="0"/>
          <w:numId w:val="4"/>
        </w:numPr>
        <w:rPr>
          <w:color w:val="0070C0"/>
        </w:rPr>
      </w:pPr>
      <w:r w:rsidRPr="008B6E52">
        <w:rPr>
          <w:color w:val="0070C0"/>
        </w:rPr>
        <w:t>Establishing a niche</w:t>
      </w:r>
    </w:p>
    <w:p w14:paraId="2A7B2458" w14:textId="225B576A" w:rsidR="00194C21" w:rsidRPr="008B6E52" w:rsidRDefault="00194C21" w:rsidP="008206D4">
      <w:pPr>
        <w:pStyle w:val="ListParagraph"/>
        <w:numPr>
          <w:ilvl w:val="0"/>
          <w:numId w:val="4"/>
        </w:numPr>
        <w:rPr>
          <w:color w:val="FF0000"/>
        </w:rPr>
      </w:pPr>
      <w:r w:rsidRPr="008B6E52">
        <w:rPr>
          <w:color w:val="FF0000"/>
        </w:rPr>
        <w:t>Occupying the niche</w:t>
      </w:r>
    </w:p>
    <w:p w14:paraId="54AFADCB" w14:textId="3670C9F3" w:rsidR="00194C21" w:rsidRDefault="00194C21" w:rsidP="004270C6">
      <w:pPr>
        <w:rPr>
          <w:rFonts w:ascii="Arial" w:hAnsi="Arial" w:cs="Arial"/>
        </w:rPr>
      </w:pPr>
    </w:p>
    <w:p w14:paraId="671EBF81" w14:textId="4CC9BEB7" w:rsidR="00194C21" w:rsidRDefault="00194C21" w:rsidP="004270C6">
      <w:pPr>
        <w:rPr>
          <w:rFonts w:ascii="Arial" w:hAnsi="Arial" w:cs="Arial"/>
        </w:rPr>
      </w:pPr>
      <w:r w:rsidRPr="004E324E">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7C44BC67" wp14:editId="6E968156">
                <wp:simplePos x="0" y="0"/>
                <wp:positionH relativeFrom="margin">
                  <wp:posOffset>0</wp:posOffset>
                </wp:positionH>
                <wp:positionV relativeFrom="paragraph">
                  <wp:posOffset>8890</wp:posOffset>
                </wp:positionV>
                <wp:extent cx="5706745" cy="4972050"/>
                <wp:effectExtent l="0" t="0" r="27305" b="19050"/>
                <wp:wrapNone/>
                <wp:docPr id="2" name="Rounded Rectangle 2"/>
                <wp:cNvGraphicFramePr/>
                <a:graphic xmlns:a="http://schemas.openxmlformats.org/drawingml/2006/main">
                  <a:graphicData uri="http://schemas.microsoft.com/office/word/2010/wordprocessingShape">
                    <wps:wsp>
                      <wps:cNvSpPr/>
                      <wps:spPr>
                        <a:xfrm>
                          <a:off x="0" y="0"/>
                          <a:ext cx="5706745" cy="49720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0957EFA6" w14:textId="77777777" w:rsidR="00194C21" w:rsidRPr="00194C21" w:rsidRDefault="00194C21" w:rsidP="008206D4">
                            <w:pPr>
                              <w:pStyle w:val="ListParagraph"/>
                              <w:numPr>
                                <w:ilvl w:val="0"/>
                                <w:numId w:val="7"/>
                              </w:numPr>
                              <w:spacing w:line="276" w:lineRule="auto"/>
                            </w:pPr>
                            <w:r w:rsidRPr="00194C21">
                              <w:t>Introduction</w:t>
                            </w:r>
                          </w:p>
                          <w:p w14:paraId="1D0CE4BF" w14:textId="3CA5270B" w:rsidR="00194C21" w:rsidRDefault="00194C21" w:rsidP="00194C21">
                            <w:pPr>
                              <w:spacing w:line="276" w:lineRule="auto"/>
                              <w:ind w:left="360"/>
                            </w:pPr>
                            <w:r w:rsidRPr="008B6E52">
                              <w:rPr>
                                <w:color w:val="00B050"/>
                              </w:rPr>
                              <w:t>Liver cancer is one of the most frequently diagnosed cancers worldwide and</w:t>
                            </w:r>
                            <w:r w:rsidR="00DA7B74" w:rsidRPr="008B6E52">
                              <w:rPr>
                                <w:color w:val="00B050"/>
                              </w:rPr>
                              <w:t xml:space="preserve"> </w:t>
                            </w:r>
                            <w:r w:rsidRPr="008B6E52">
                              <w:rPr>
                                <w:color w:val="00B050"/>
                              </w:rPr>
                              <w:t>also one of the most common causes of cancer-related death (</w:t>
                            </w:r>
                            <w:proofErr w:type="spellStart"/>
                            <w:r w:rsidRPr="008B6E52">
                              <w:rPr>
                                <w:color w:val="00B050"/>
                              </w:rPr>
                              <w:t>Ahmedin</w:t>
                            </w:r>
                            <w:proofErr w:type="spellEnd"/>
                            <w:r w:rsidRPr="008B6E52">
                              <w:rPr>
                                <w:color w:val="00B050"/>
                              </w:rPr>
                              <w:t xml:space="preserve"> et al.,</w:t>
                            </w:r>
                            <w:r w:rsidR="00DA7B74" w:rsidRPr="008B6E52">
                              <w:rPr>
                                <w:color w:val="00B050"/>
                              </w:rPr>
                              <w:t xml:space="preserve"> </w:t>
                            </w:r>
                            <w:r w:rsidRPr="008B6E52">
                              <w:rPr>
                                <w:color w:val="00B050"/>
                              </w:rPr>
                              <w:t>2011). Hepatocellular carcinoma (HCC), on which this report focuses, is the most</w:t>
                            </w:r>
                            <w:r w:rsidR="00DA7B74" w:rsidRPr="008B6E52">
                              <w:rPr>
                                <w:color w:val="00B050"/>
                              </w:rPr>
                              <w:t xml:space="preserve"> </w:t>
                            </w:r>
                            <w:r w:rsidRPr="008B6E52">
                              <w:rPr>
                                <w:color w:val="00B050"/>
                              </w:rPr>
                              <w:t>common type of primary liver cancer and is associated with poor prognosis, even</w:t>
                            </w:r>
                            <w:r w:rsidR="00DA7B74" w:rsidRPr="008B6E52">
                              <w:rPr>
                                <w:color w:val="00B050"/>
                              </w:rPr>
                              <w:t xml:space="preserve"> </w:t>
                            </w:r>
                            <w:r w:rsidRPr="008B6E52">
                              <w:rPr>
                                <w:color w:val="00B050"/>
                              </w:rPr>
                              <w:t>among patients with early and small manifestations (Fong and Tanabe,</w:t>
                            </w:r>
                            <w:r w:rsidR="00DA7B74" w:rsidRPr="008B6E52">
                              <w:rPr>
                                <w:color w:val="00B050"/>
                              </w:rPr>
                              <w:t xml:space="preserve"> </w:t>
                            </w:r>
                            <w:r w:rsidRPr="008B6E52">
                              <w:rPr>
                                <w:color w:val="00B050"/>
                              </w:rPr>
                              <w:t>2014).</w:t>
                            </w:r>
                            <w:r w:rsidR="008B6E52" w:rsidRPr="008B6E52">
                              <w:rPr>
                                <w:color w:val="00B050"/>
                              </w:rPr>
                              <w:t xml:space="preserve"> </w:t>
                            </w:r>
                            <w:r w:rsidRPr="008B6E52">
                              <w:rPr>
                                <w:color w:val="0070C0"/>
                              </w:rPr>
                              <w:t>Because of its burden to global health, HCC i</w:t>
                            </w:r>
                            <w:r w:rsidR="00DA7B74" w:rsidRPr="008B6E52">
                              <w:rPr>
                                <w:color w:val="0070C0"/>
                              </w:rPr>
                              <w:t>s the object of numerous sur</w:t>
                            </w:r>
                            <w:r w:rsidRPr="008B6E52">
                              <w:rPr>
                                <w:color w:val="0070C0"/>
                              </w:rPr>
                              <w:t>veillance programmes, and there is much debate on the best methodology for</w:t>
                            </w:r>
                            <w:r w:rsidR="00DA7B74" w:rsidRPr="008B6E52">
                              <w:rPr>
                                <w:color w:val="0070C0"/>
                              </w:rPr>
                              <w:t xml:space="preserve"> </w:t>
                            </w:r>
                            <w:r w:rsidRPr="008B6E52">
                              <w:rPr>
                                <w:color w:val="0070C0"/>
                              </w:rPr>
                              <w:t>this surveillance (Bird et al.,</w:t>
                            </w:r>
                            <w:r w:rsidR="00DA7B74" w:rsidRPr="008B6E52">
                              <w:rPr>
                                <w:color w:val="0070C0"/>
                              </w:rPr>
                              <w:t xml:space="preserve"> </w:t>
                            </w:r>
                            <w:r w:rsidRPr="008B6E52">
                              <w:rPr>
                                <w:color w:val="0070C0"/>
                              </w:rPr>
                              <w:t xml:space="preserve">2016). </w:t>
                            </w:r>
                            <w:r w:rsidRPr="00194C21">
                              <w:t>This report ai</w:t>
                            </w:r>
                            <w:r w:rsidR="00DA7B74">
                              <w:t>ms to contribute to this discus</w:t>
                            </w:r>
                            <w:r w:rsidRPr="00194C21">
                              <w:t>sion by examining the risk factors behind HCC diagnosis. We hope that a better</w:t>
                            </w:r>
                            <w:r w:rsidR="00DA7B74">
                              <w:t xml:space="preserve"> </w:t>
                            </w:r>
                            <w:r w:rsidRPr="00194C21">
                              <w:t>understanding of the causes of HCC development can help inform the design of</w:t>
                            </w:r>
                            <w:r w:rsidR="00DA7B74">
                              <w:t xml:space="preserve"> </w:t>
                            </w:r>
                            <w:r w:rsidRPr="00194C21">
                              <w:t>surveillance programmes in the future.</w:t>
                            </w:r>
                            <w:r w:rsidR="00DA7B74">
                              <w:t xml:space="preserve"> </w:t>
                            </w:r>
                            <w:r w:rsidRPr="00194C21">
                              <w:t>We analyse a sample of1 555individuals undergoing HCC surveillance in2009 in Scotland, some of whom were diagnosed with cancer within the study</w:t>
                            </w:r>
                            <w:r w:rsidR="00DA7B74">
                              <w:t xml:space="preserve"> </w:t>
                            </w:r>
                            <w:r w:rsidRPr="00194C21">
                              <w:t xml:space="preserve">period. </w:t>
                            </w:r>
                            <w:r w:rsidRPr="008B6E52">
                              <w:rPr>
                                <w:color w:val="FF0000"/>
                              </w:rPr>
                              <w:t>Our goal is to find, among the following factors, the most relevant for</w:t>
                            </w:r>
                            <w:r w:rsidR="00DA7B74" w:rsidRPr="008B6E52">
                              <w:rPr>
                                <w:color w:val="FF0000"/>
                              </w:rPr>
                              <w:t xml:space="preserve"> </w:t>
                            </w:r>
                            <w:r w:rsidRPr="008B6E52">
                              <w:rPr>
                                <w:color w:val="FF0000"/>
                              </w:rPr>
                              <w:t>explaining HCC diagnosis: aetiology of pre-existent liver disease; sex; age; and</w:t>
                            </w:r>
                            <w:r w:rsidR="00DA7B74" w:rsidRPr="008B6E52">
                              <w:rPr>
                                <w:color w:val="FF0000"/>
                              </w:rPr>
                              <w:t xml:space="preserve"> alpha-fetoprotein</w:t>
                            </w:r>
                            <w:r w:rsidRPr="008B6E52">
                              <w:rPr>
                                <w:color w:val="FF0000"/>
                              </w:rPr>
                              <w:t xml:space="preserve"> (AFP) levels, of which we hav</w:t>
                            </w:r>
                            <w:r w:rsidR="00DA7B74" w:rsidRPr="008B6E52">
                              <w:rPr>
                                <w:color w:val="FF0000"/>
                              </w:rPr>
                              <w:t>e multiple measurements per sub</w:t>
                            </w:r>
                            <w:r w:rsidRPr="008B6E52">
                              <w:rPr>
                                <w:color w:val="FF0000"/>
                              </w:rPr>
                              <w:t xml:space="preserve">ject over time. </w:t>
                            </w:r>
                            <w:r w:rsidRPr="00194C21">
                              <w:t>AFP measurement is a commonly used screening test in HCC</w:t>
                            </w:r>
                            <w:r w:rsidR="00DA7B74">
                              <w:t xml:space="preserve"> </w:t>
                            </w:r>
                            <w:r w:rsidRPr="00194C21">
                              <w:t>surveillance programmes, with higher levels being associated with greater long-term risk of cancer development (Bird et al.,</w:t>
                            </w:r>
                            <w:r w:rsidR="00DA7B74">
                              <w:t xml:space="preserve"> </w:t>
                            </w:r>
                            <w:r w:rsidRPr="00194C21">
                              <w:t>2016).</w:t>
                            </w:r>
                          </w:p>
                          <w:p w14:paraId="12B03268" w14:textId="77777777" w:rsidR="00194C21" w:rsidRDefault="00194C21" w:rsidP="00194C21">
                            <w:pPr>
                              <w:ind w:left="360"/>
                            </w:pPr>
                          </w:p>
                          <w:p w14:paraId="421AE55D" w14:textId="77777777" w:rsidR="00194C21" w:rsidRDefault="00194C21" w:rsidP="00194C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4BC67" id="Rounded Rectangle 2" o:spid="_x0000_s1027" style="position:absolute;margin-left:0;margin-top:.7pt;width:449.35pt;height:39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" fillcolor="white [3201]" strokecolor="#4f81bd [3204]" strokeweight=".25pt">
                <v:textbox>
                  <w:txbxContent>
                    <w:p w14:paraId="0957EFA6" w14:textId="77777777" w:rsidR="00194C21" w:rsidRPr="00194C21" w:rsidRDefault="00194C21" w:rsidP="008206D4">
                      <w:pPr>
                        <w:pStyle w:val="ListParagraph"/>
                        <w:numPr>
                          <w:ilvl w:val="0"/>
                          <w:numId w:val="7"/>
                        </w:numPr>
                        <w:spacing w:line="276" w:lineRule="auto"/>
                      </w:pPr>
                      <w:r w:rsidRPr="00194C21">
                        <w:t>Introduction</w:t>
                      </w:r>
                    </w:p>
                    <w:p w14:paraId="1D0CE4BF" w14:textId="3CA5270B" w:rsidR="00194C21" w:rsidRDefault="00194C21" w:rsidP="00194C21">
                      <w:pPr>
                        <w:spacing w:line="276" w:lineRule="auto"/>
                        <w:ind w:left="360"/>
                      </w:pPr>
                      <w:r w:rsidRPr="008B6E52">
                        <w:rPr>
                          <w:color w:val="00B050"/>
                        </w:rPr>
                        <w:t>Liver cancer is one of the most frequently diagnosed cancers worldwide and</w:t>
                      </w:r>
                      <w:r w:rsidR="00DA7B74" w:rsidRPr="008B6E52">
                        <w:rPr>
                          <w:color w:val="00B050"/>
                        </w:rPr>
                        <w:t xml:space="preserve"> </w:t>
                      </w:r>
                      <w:r w:rsidRPr="008B6E52">
                        <w:rPr>
                          <w:color w:val="00B050"/>
                        </w:rPr>
                        <w:t>also one of the most common causes of cancer-related death (</w:t>
                      </w:r>
                      <w:proofErr w:type="spellStart"/>
                      <w:r w:rsidRPr="008B6E52">
                        <w:rPr>
                          <w:color w:val="00B050"/>
                        </w:rPr>
                        <w:t>Ahmedin</w:t>
                      </w:r>
                      <w:proofErr w:type="spellEnd"/>
                      <w:r w:rsidRPr="008B6E52">
                        <w:rPr>
                          <w:color w:val="00B050"/>
                        </w:rPr>
                        <w:t xml:space="preserve"> et al.,</w:t>
                      </w:r>
                      <w:r w:rsidR="00DA7B74" w:rsidRPr="008B6E52">
                        <w:rPr>
                          <w:color w:val="00B050"/>
                        </w:rPr>
                        <w:t xml:space="preserve"> </w:t>
                      </w:r>
                      <w:r w:rsidRPr="008B6E52">
                        <w:rPr>
                          <w:color w:val="00B050"/>
                        </w:rPr>
                        <w:t>2011). Hepatocellular carcinoma (HCC), on which this report focuses, is the most</w:t>
                      </w:r>
                      <w:r w:rsidR="00DA7B74" w:rsidRPr="008B6E52">
                        <w:rPr>
                          <w:color w:val="00B050"/>
                        </w:rPr>
                        <w:t xml:space="preserve"> </w:t>
                      </w:r>
                      <w:r w:rsidRPr="008B6E52">
                        <w:rPr>
                          <w:color w:val="00B050"/>
                        </w:rPr>
                        <w:t>common type of primary liver cancer and is associated with poor prognosis, even</w:t>
                      </w:r>
                      <w:r w:rsidR="00DA7B74" w:rsidRPr="008B6E52">
                        <w:rPr>
                          <w:color w:val="00B050"/>
                        </w:rPr>
                        <w:t xml:space="preserve"> </w:t>
                      </w:r>
                      <w:r w:rsidRPr="008B6E52">
                        <w:rPr>
                          <w:color w:val="00B050"/>
                        </w:rPr>
                        <w:t>among patients with early and small manifestations (Fong and Tanabe,</w:t>
                      </w:r>
                      <w:r w:rsidR="00DA7B74" w:rsidRPr="008B6E52">
                        <w:rPr>
                          <w:color w:val="00B050"/>
                        </w:rPr>
                        <w:t xml:space="preserve"> </w:t>
                      </w:r>
                      <w:r w:rsidRPr="008B6E52">
                        <w:rPr>
                          <w:color w:val="00B050"/>
                        </w:rPr>
                        <w:t>2014).</w:t>
                      </w:r>
                      <w:r w:rsidR="008B6E52" w:rsidRPr="008B6E52">
                        <w:rPr>
                          <w:color w:val="00B050"/>
                        </w:rPr>
                        <w:t xml:space="preserve"> </w:t>
                      </w:r>
                      <w:r w:rsidRPr="008B6E52">
                        <w:rPr>
                          <w:color w:val="0070C0"/>
                        </w:rPr>
                        <w:t>Because of its burden to global health, HCC i</w:t>
                      </w:r>
                      <w:r w:rsidR="00DA7B74" w:rsidRPr="008B6E52">
                        <w:rPr>
                          <w:color w:val="0070C0"/>
                        </w:rPr>
                        <w:t>s the object of numerous sur</w:t>
                      </w:r>
                      <w:r w:rsidRPr="008B6E52">
                        <w:rPr>
                          <w:color w:val="0070C0"/>
                        </w:rPr>
                        <w:t>veillance programmes, and there is much debate on the best methodology for</w:t>
                      </w:r>
                      <w:r w:rsidR="00DA7B74" w:rsidRPr="008B6E52">
                        <w:rPr>
                          <w:color w:val="0070C0"/>
                        </w:rPr>
                        <w:t xml:space="preserve"> </w:t>
                      </w:r>
                      <w:r w:rsidRPr="008B6E52">
                        <w:rPr>
                          <w:color w:val="0070C0"/>
                        </w:rPr>
                        <w:t>this surveillance (Bird et al.,</w:t>
                      </w:r>
                      <w:r w:rsidR="00DA7B74" w:rsidRPr="008B6E52">
                        <w:rPr>
                          <w:color w:val="0070C0"/>
                        </w:rPr>
                        <w:t xml:space="preserve"> </w:t>
                      </w:r>
                      <w:r w:rsidRPr="008B6E52">
                        <w:rPr>
                          <w:color w:val="0070C0"/>
                        </w:rPr>
                        <w:t xml:space="preserve">2016). </w:t>
                      </w:r>
                      <w:r w:rsidRPr="00194C21">
                        <w:t>This report ai</w:t>
                      </w:r>
                      <w:r w:rsidR="00DA7B74">
                        <w:t>ms to contribute to this discus</w:t>
                      </w:r>
                      <w:r w:rsidRPr="00194C21">
                        <w:t>sion by examining the risk factors behind HCC diagnosis. We hope that a better</w:t>
                      </w:r>
                      <w:r w:rsidR="00DA7B74">
                        <w:t xml:space="preserve"> </w:t>
                      </w:r>
                      <w:r w:rsidRPr="00194C21">
                        <w:t>understanding of the causes of HCC development can help inform the design of</w:t>
                      </w:r>
                      <w:r w:rsidR="00DA7B74">
                        <w:t xml:space="preserve"> </w:t>
                      </w:r>
                      <w:r w:rsidRPr="00194C21">
                        <w:t>surveillance programmes in the future.</w:t>
                      </w:r>
                      <w:r w:rsidR="00DA7B74">
                        <w:t xml:space="preserve"> </w:t>
                      </w:r>
                      <w:r w:rsidRPr="00194C21">
                        <w:t>We analyse a sample of1 555individuals undergoing HCC surveillance in2009 in Scotland, some of whom were diagnosed with cancer within the study</w:t>
                      </w:r>
                      <w:r w:rsidR="00DA7B74">
                        <w:t xml:space="preserve"> </w:t>
                      </w:r>
                      <w:r w:rsidRPr="00194C21">
                        <w:t xml:space="preserve">period. </w:t>
                      </w:r>
                      <w:r w:rsidRPr="008B6E52">
                        <w:rPr>
                          <w:color w:val="FF0000"/>
                        </w:rPr>
                        <w:t>Our goal is to find, among the following factors, the most relevant for</w:t>
                      </w:r>
                      <w:r w:rsidR="00DA7B74" w:rsidRPr="008B6E52">
                        <w:rPr>
                          <w:color w:val="FF0000"/>
                        </w:rPr>
                        <w:t xml:space="preserve"> </w:t>
                      </w:r>
                      <w:r w:rsidRPr="008B6E52">
                        <w:rPr>
                          <w:color w:val="FF0000"/>
                        </w:rPr>
                        <w:t>explaining HCC diagnosis: aetiology of pre-existent liver disease; sex; age; and</w:t>
                      </w:r>
                      <w:r w:rsidR="00DA7B74" w:rsidRPr="008B6E52">
                        <w:rPr>
                          <w:color w:val="FF0000"/>
                        </w:rPr>
                        <w:t xml:space="preserve"> alpha-fetoprotein</w:t>
                      </w:r>
                      <w:r w:rsidRPr="008B6E52">
                        <w:rPr>
                          <w:color w:val="FF0000"/>
                        </w:rPr>
                        <w:t xml:space="preserve"> (AFP) levels, of which we hav</w:t>
                      </w:r>
                      <w:r w:rsidR="00DA7B74" w:rsidRPr="008B6E52">
                        <w:rPr>
                          <w:color w:val="FF0000"/>
                        </w:rPr>
                        <w:t>e multiple measurements per sub</w:t>
                      </w:r>
                      <w:r w:rsidRPr="008B6E52">
                        <w:rPr>
                          <w:color w:val="FF0000"/>
                        </w:rPr>
                        <w:t xml:space="preserve">ject over time. </w:t>
                      </w:r>
                      <w:r w:rsidRPr="00194C21">
                        <w:t>AFP measurement is a commonly used screening test in HCC</w:t>
                      </w:r>
                      <w:r w:rsidR="00DA7B74">
                        <w:t xml:space="preserve"> </w:t>
                      </w:r>
                      <w:r w:rsidRPr="00194C21">
                        <w:t>surveillance programmes, with higher levels being associated with greater long-term risk of cancer development (Bird et al.,</w:t>
                      </w:r>
                      <w:r w:rsidR="00DA7B74">
                        <w:t xml:space="preserve"> </w:t>
                      </w:r>
                      <w:r w:rsidRPr="00194C21">
                        <w:t>2016).</w:t>
                      </w:r>
                    </w:p>
                    <w:p w14:paraId="12B03268" w14:textId="77777777" w:rsidR="00194C21" w:rsidRDefault="00194C21" w:rsidP="00194C21">
                      <w:pPr>
                        <w:ind w:left="360"/>
                      </w:pPr>
                    </w:p>
                    <w:p w14:paraId="421AE55D" w14:textId="77777777" w:rsidR="00194C21" w:rsidRDefault="00194C21" w:rsidP="00194C21">
                      <w:pPr>
                        <w:jc w:val="center"/>
                      </w:pPr>
                    </w:p>
                  </w:txbxContent>
                </v:textbox>
                <w10:wrap anchorx="margin"/>
              </v:roundrect>
            </w:pict>
          </mc:Fallback>
        </mc:AlternateContent>
      </w:r>
    </w:p>
    <w:p w14:paraId="39DE9586" w14:textId="258079B4" w:rsidR="00194C21" w:rsidRDefault="00194C21" w:rsidP="004270C6">
      <w:pPr>
        <w:rPr>
          <w:rFonts w:ascii="Arial" w:hAnsi="Arial" w:cs="Arial"/>
        </w:rPr>
      </w:pPr>
    </w:p>
    <w:p w14:paraId="6D59D518" w14:textId="20F3D1B0" w:rsidR="00194C21" w:rsidRDefault="00194C21" w:rsidP="004270C6">
      <w:pPr>
        <w:rPr>
          <w:rFonts w:ascii="Arial" w:hAnsi="Arial" w:cs="Arial"/>
        </w:rPr>
      </w:pPr>
    </w:p>
    <w:p w14:paraId="242034D9" w14:textId="5411F379" w:rsidR="00194C21" w:rsidRDefault="00194C21" w:rsidP="004270C6">
      <w:pPr>
        <w:rPr>
          <w:rFonts w:ascii="Arial" w:hAnsi="Arial" w:cs="Arial"/>
        </w:rPr>
      </w:pPr>
    </w:p>
    <w:p w14:paraId="5CA9D560" w14:textId="70D4CF1B" w:rsidR="00194C21" w:rsidRDefault="00194C21" w:rsidP="004270C6">
      <w:pPr>
        <w:rPr>
          <w:rFonts w:ascii="Arial" w:hAnsi="Arial" w:cs="Arial"/>
        </w:rPr>
      </w:pPr>
    </w:p>
    <w:p w14:paraId="6E9B8F4B" w14:textId="44A8EE72" w:rsidR="00194C21" w:rsidRDefault="00194C21" w:rsidP="004270C6">
      <w:pPr>
        <w:rPr>
          <w:rFonts w:ascii="Arial" w:hAnsi="Arial" w:cs="Arial"/>
        </w:rPr>
      </w:pPr>
    </w:p>
    <w:p w14:paraId="0E9A8357" w14:textId="4B1DF3BA" w:rsidR="00194C21" w:rsidRDefault="00194C21" w:rsidP="004270C6">
      <w:pPr>
        <w:rPr>
          <w:rFonts w:ascii="Arial" w:hAnsi="Arial" w:cs="Arial"/>
        </w:rPr>
      </w:pPr>
    </w:p>
    <w:p w14:paraId="6BC34C0D" w14:textId="756D17AA" w:rsidR="00194C21" w:rsidRDefault="00194C21" w:rsidP="004270C6">
      <w:pPr>
        <w:rPr>
          <w:rFonts w:ascii="Arial" w:hAnsi="Arial" w:cs="Arial"/>
        </w:rPr>
      </w:pPr>
    </w:p>
    <w:p w14:paraId="7531C586" w14:textId="77777777" w:rsidR="00194C21" w:rsidRDefault="00194C21" w:rsidP="004270C6">
      <w:pPr>
        <w:rPr>
          <w:rFonts w:ascii="Arial" w:hAnsi="Arial" w:cs="Arial"/>
        </w:rPr>
      </w:pPr>
    </w:p>
    <w:p w14:paraId="2997CDB3" w14:textId="02E6E6CC" w:rsidR="001A15E0" w:rsidRDefault="001A15E0" w:rsidP="001A15E0">
      <w:pPr>
        <w:rPr>
          <w:rFonts w:ascii="Arial" w:hAnsi="Arial" w:cs="Arial"/>
        </w:rPr>
      </w:pPr>
    </w:p>
    <w:p w14:paraId="7BD7A898" w14:textId="7645E0BE" w:rsidR="00194C21" w:rsidRDefault="00194C21" w:rsidP="00194C21">
      <w:pPr>
        <w:ind w:left="360"/>
      </w:pPr>
    </w:p>
    <w:p w14:paraId="71CBD062" w14:textId="58D9A5F7" w:rsidR="00194C21" w:rsidRDefault="00194C21" w:rsidP="00194C21">
      <w:pPr>
        <w:ind w:left="360"/>
      </w:pPr>
    </w:p>
    <w:p w14:paraId="30C0CA26" w14:textId="3DC5D278" w:rsidR="00194C21" w:rsidRDefault="00194C21" w:rsidP="00194C21">
      <w:pPr>
        <w:ind w:left="360"/>
      </w:pPr>
    </w:p>
    <w:p w14:paraId="69282BCB" w14:textId="64F1B254" w:rsidR="00194C21" w:rsidRDefault="00194C21" w:rsidP="00194C21">
      <w:pPr>
        <w:ind w:left="360"/>
      </w:pPr>
    </w:p>
    <w:p w14:paraId="275323A6" w14:textId="630897A6" w:rsidR="00194C21" w:rsidRDefault="00194C21" w:rsidP="00194C21">
      <w:pPr>
        <w:ind w:left="360"/>
      </w:pPr>
    </w:p>
    <w:p w14:paraId="5BAE9E49" w14:textId="386516D8" w:rsidR="00194C21" w:rsidRDefault="00194C21" w:rsidP="00194C21">
      <w:pPr>
        <w:ind w:left="360"/>
      </w:pPr>
    </w:p>
    <w:p w14:paraId="192A3BB5" w14:textId="7EC71167" w:rsidR="00194C21" w:rsidRDefault="00194C21" w:rsidP="00194C21">
      <w:pPr>
        <w:ind w:left="360"/>
      </w:pPr>
    </w:p>
    <w:p w14:paraId="35F39115" w14:textId="03174FFC" w:rsidR="00194C21" w:rsidRDefault="00194C21" w:rsidP="00194C21">
      <w:pPr>
        <w:ind w:left="360"/>
      </w:pPr>
    </w:p>
    <w:p w14:paraId="30642EE6" w14:textId="52AC48A2" w:rsidR="00194C21" w:rsidRDefault="00194C21" w:rsidP="00194C21">
      <w:pPr>
        <w:ind w:left="360"/>
      </w:pPr>
    </w:p>
    <w:p w14:paraId="366B5F9F" w14:textId="799E3C5A" w:rsidR="00194C21" w:rsidRDefault="00194C21" w:rsidP="00194C21">
      <w:pPr>
        <w:ind w:left="360"/>
      </w:pPr>
    </w:p>
    <w:p w14:paraId="467E5064" w14:textId="7B4227E0" w:rsidR="00194C21" w:rsidRDefault="00194C21" w:rsidP="00194C21">
      <w:pPr>
        <w:ind w:left="360"/>
      </w:pPr>
    </w:p>
    <w:p w14:paraId="3400B935" w14:textId="7E0B3074" w:rsidR="00194C21" w:rsidRDefault="00194C21" w:rsidP="00194C21">
      <w:pPr>
        <w:ind w:left="360"/>
      </w:pPr>
    </w:p>
    <w:p w14:paraId="0E4ED199" w14:textId="59166F72" w:rsidR="00194C21" w:rsidRDefault="00194C21" w:rsidP="00194C21">
      <w:pPr>
        <w:ind w:left="360"/>
      </w:pPr>
    </w:p>
    <w:p w14:paraId="17AE5F60" w14:textId="4BA9CDDE" w:rsidR="00DA7B74" w:rsidRDefault="00DA7B74" w:rsidP="00DA7B74"/>
    <w:p w14:paraId="1738B7AB" w14:textId="2DC60690" w:rsidR="00DA7B74" w:rsidRDefault="00DA7B74" w:rsidP="00DA7B74"/>
    <w:p w14:paraId="3B6D4850" w14:textId="77777777" w:rsidR="00DA7B74" w:rsidRDefault="00DA7B74" w:rsidP="008206D4">
      <w:pPr>
        <w:pStyle w:val="Heading2"/>
        <w:numPr>
          <w:ilvl w:val="0"/>
          <w:numId w:val="2"/>
        </w:numPr>
        <w:rPr>
          <w:rFonts w:ascii="Arial" w:hAnsi="Arial" w:cs="Arial"/>
        </w:rPr>
      </w:pPr>
      <w:r>
        <w:rPr>
          <w:rFonts w:ascii="Arial" w:hAnsi="Arial" w:cs="Arial"/>
        </w:rPr>
        <w:t>Elements of a conclusion</w:t>
      </w:r>
    </w:p>
    <w:p w14:paraId="62E003FD" w14:textId="77777777" w:rsidR="00DA7B74" w:rsidRDefault="00DA7B74" w:rsidP="004E324E">
      <w:pPr>
        <w:rPr>
          <w:rFonts w:ascii="Arial" w:hAnsi="Arial" w:cs="Arial"/>
        </w:rPr>
      </w:pPr>
    </w:p>
    <w:p w14:paraId="60C4EF14" w14:textId="4B328BF8" w:rsidR="00DA7B74" w:rsidRDefault="00DA7B74" w:rsidP="004E324E">
      <w:pPr>
        <w:rPr>
          <w:rFonts w:ascii="Arial" w:hAnsi="Arial" w:cs="Arial"/>
        </w:rPr>
      </w:pPr>
      <w:r>
        <w:rPr>
          <w:rFonts w:ascii="Arial" w:hAnsi="Arial" w:cs="Arial"/>
        </w:rPr>
        <w:t>Look at the research project extract. Can you identify typical elements of a conclusion?</w:t>
      </w:r>
    </w:p>
    <w:p w14:paraId="6D309344" w14:textId="21CAC159" w:rsidR="00DA7B74" w:rsidRPr="008B6E52" w:rsidRDefault="00DA7B74" w:rsidP="008206D4">
      <w:pPr>
        <w:pStyle w:val="ListParagraph"/>
        <w:numPr>
          <w:ilvl w:val="0"/>
          <w:numId w:val="8"/>
        </w:numPr>
        <w:rPr>
          <w:color w:val="7030A0"/>
        </w:rPr>
      </w:pPr>
      <w:r w:rsidRPr="008B6E52">
        <w:rPr>
          <w:color w:val="7030A0"/>
        </w:rPr>
        <w:t>Restated objective</w:t>
      </w:r>
    </w:p>
    <w:p w14:paraId="2BAD8452" w14:textId="007A2F43" w:rsidR="00DA7B74" w:rsidRPr="008B6E52" w:rsidRDefault="00DA7B74" w:rsidP="008206D4">
      <w:pPr>
        <w:pStyle w:val="ListParagraph"/>
        <w:numPr>
          <w:ilvl w:val="0"/>
          <w:numId w:val="8"/>
        </w:numPr>
        <w:rPr>
          <w:color w:val="0070C0"/>
        </w:rPr>
      </w:pPr>
      <w:r w:rsidRPr="008B6E52">
        <w:rPr>
          <w:color w:val="0070C0"/>
        </w:rPr>
        <w:t>Overview of main findings</w:t>
      </w:r>
    </w:p>
    <w:p w14:paraId="6A73CF77" w14:textId="1F8F8948" w:rsidR="00DA7B74" w:rsidRPr="008B6E52" w:rsidRDefault="00DA7B74" w:rsidP="008206D4">
      <w:pPr>
        <w:pStyle w:val="ListParagraph"/>
        <w:numPr>
          <w:ilvl w:val="0"/>
          <w:numId w:val="8"/>
        </w:numPr>
        <w:rPr>
          <w:color w:val="FF0000"/>
        </w:rPr>
      </w:pPr>
      <w:r w:rsidRPr="008B6E52">
        <w:rPr>
          <w:color w:val="FF0000"/>
        </w:rPr>
        <w:t>Limitations</w:t>
      </w:r>
    </w:p>
    <w:p w14:paraId="60926493" w14:textId="5367A603" w:rsidR="00DA7B74" w:rsidRPr="008B6E52" w:rsidRDefault="00DA7B74" w:rsidP="008206D4">
      <w:pPr>
        <w:pStyle w:val="ListParagraph"/>
        <w:numPr>
          <w:ilvl w:val="0"/>
          <w:numId w:val="8"/>
        </w:numPr>
        <w:rPr>
          <w:color w:val="00B050"/>
        </w:rPr>
      </w:pPr>
      <w:r w:rsidRPr="008B6E52">
        <w:rPr>
          <w:color w:val="00B050"/>
        </w:rPr>
        <w:t>Direction of future research</w:t>
      </w:r>
    </w:p>
    <w:p w14:paraId="5D9FC3AA" w14:textId="0328E638" w:rsidR="00DA7B74" w:rsidRDefault="00DA7B74" w:rsidP="004E324E">
      <w:pPr>
        <w:rPr>
          <w:rFonts w:ascii="Arial" w:hAnsi="Arial" w:cs="Arial"/>
        </w:rPr>
      </w:pPr>
    </w:p>
    <w:p w14:paraId="44242D56" w14:textId="5314B674" w:rsidR="00DA7B74" w:rsidRDefault="006628C3" w:rsidP="004E324E">
      <w:pPr>
        <w:rPr>
          <w:rFonts w:ascii="Arial" w:hAnsi="Arial" w:cs="Arial"/>
        </w:rPr>
      </w:pPr>
      <w:r>
        <w:rPr>
          <w:rFonts w:ascii="Arial" w:hAnsi="Arial" w:cs="Arial"/>
          <w:noProof/>
          <w:lang w:eastAsia="en-GB"/>
        </w:rPr>
        <mc:AlternateContent>
          <mc:Choice Requires="wps">
            <w:drawing>
              <wp:anchor distT="0" distB="0" distL="114300" distR="114300" simplePos="0" relativeHeight="251663872" behindDoc="0" locked="0" layoutInCell="1" allowOverlap="1" wp14:anchorId="03C4B5D0" wp14:editId="46C5CE2E">
                <wp:simplePos x="0" y="0"/>
                <wp:positionH relativeFrom="column">
                  <wp:posOffset>-114300</wp:posOffset>
                </wp:positionH>
                <wp:positionV relativeFrom="paragraph">
                  <wp:posOffset>148590</wp:posOffset>
                </wp:positionV>
                <wp:extent cx="6159500" cy="4622800"/>
                <wp:effectExtent l="0" t="0" r="12700" b="25400"/>
                <wp:wrapNone/>
                <wp:docPr id="4" name="Rounded Rectangle 4"/>
                <wp:cNvGraphicFramePr/>
                <a:graphic xmlns:a="http://schemas.openxmlformats.org/drawingml/2006/main">
                  <a:graphicData uri="http://schemas.microsoft.com/office/word/2010/wordprocessingShape">
                    <wps:wsp>
                      <wps:cNvSpPr/>
                      <wps:spPr>
                        <a:xfrm>
                          <a:off x="0" y="0"/>
                          <a:ext cx="6159500" cy="4622800"/>
                        </a:xfrm>
                        <a:prstGeom prst="roundRect">
                          <a:avLst/>
                        </a:prstGeom>
                        <a:ln w="3175"/>
                      </wps:spPr>
                      <wps:style>
                        <a:lnRef idx="2">
                          <a:schemeClr val="accent5"/>
                        </a:lnRef>
                        <a:fillRef idx="1">
                          <a:schemeClr val="lt1"/>
                        </a:fillRef>
                        <a:effectRef idx="0">
                          <a:schemeClr val="accent5"/>
                        </a:effectRef>
                        <a:fontRef idx="minor">
                          <a:schemeClr val="dk1"/>
                        </a:fontRef>
                      </wps:style>
                      <wps:txbx>
                        <w:txbxContent>
                          <w:p w14:paraId="77318E4D" w14:textId="77777777" w:rsidR="00DA7B74" w:rsidRPr="00DA7B74" w:rsidRDefault="00DA7B74" w:rsidP="00DA7B74">
                            <w:pPr>
                              <w:rPr>
                                <w:sz w:val="22"/>
                              </w:rPr>
                            </w:pPr>
                            <w:r w:rsidRPr="00DA7B74">
                              <w:rPr>
                                <w:sz w:val="22"/>
                              </w:rPr>
                              <w:t>7    Conclusion</w:t>
                            </w:r>
                          </w:p>
                          <w:p w14:paraId="6E72829D" w14:textId="77777777" w:rsidR="006628C3" w:rsidRPr="008B6E52" w:rsidRDefault="00DA7B74" w:rsidP="00DA7B74">
                            <w:pPr>
                              <w:rPr>
                                <w:color w:val="0070C0"/>
                                <w:sz w:val="22"/>
                              </w:rPr>
                            </w:pPr>
                            <w:r w:rsidRPr="008B6E52">
                              <w:rPr>
                                <w:color w:val="7030A0"/>
                                <w:sz w:val="22"/>
                              </w:rPr>
                              <w:t xml:space="preserve">The objective of this paper was to establish if there exists an association between drug use (measured in DDD/1000 OBD) and AMR (measured by proportion of clinical isolates exhibiting resistance) at the hospital level, using a Bayesian </w:t>
                            </w:r>
                            <w:proofErr w:type="spellStart"/>
                            <w:r w:rsidRPr="008B6E52">
                              <w:rPr>
                                <w:color w:val="7030A0"/>
                                <w:sz w:val="22"/>
                              </w:rPr>
                              <w:t>orderd</w:t>
                            </w:r>
                            <w:proofErr w:type="spellEnd"/>
                            <w:r w:rsidRPr="008B6E52">
                              <w:rPr>
                                <w:color w:val="7030A0"/>
                                <w:sz w:val="22"/>
                              </w:rPr>
                              <w:t xml:space="preserve"> logit model. </w:t>
                            </w:r>
                            <w:r w:rsidRPr="008B6E52">
                              <w:rPr>
                                <w:color w:val="0070C0"/>
                                <w:sz w:val="22"/>
                              </w:rPr>
                              <w:t xml:space="preserve">We find a 95% probability of a positive association between DDD and AMR for invasively administered drugs, with a 97% probability that non-invasive administration leads to a smaller association between DDD and AMR. This latter association may even be negative, however the probability of this is only 80% which is too small to draw conclusions from.  The relative importance of invasively administered DDD in determining the proportion group is small, with a minimum transition ratio of 23.65 for a bottom to bottom transition.  These ratios were smallest at more extreme proportions, perhaps implying a tipping-point phenomenon. In general, resistance mostly arises from a few drugs - namely amoxicillin, doxycycline, and trimethoprim.  The drugs with the most negative association were </w:t>
                            </w:r>
                            <w:proofErr w:type="spellStart"/>
                            <w:r w:rsidRPr="008B6E52">
                              <w:rPr>
                                <w:color w:val="0070C0"/>
                                <w:sz w:val="22"/>
                              </w:rPr>
                              <w:t>linzolid</w:t>
                            </w:r>
                            <w:proofErr w:type="spellEnd"/>
                            <w:r w:rsidRPr="008B6E52">
                              <w:rPr>
                                <w:color w:val="0070C0"/>
                                <w:sz w:val="22"/>
                              </w:rPr>
                              <w:t xml:space="preserve">, </w:t>
                            </w:r>
                            <w:proofErr w:type="spellStart"/>
                            <w:r w:rsidRPr="008B6E52">
                              <w:rPr>
                                <w:color w:val="0070C0"/>
                                <w:sz w:val="22"/>
                              </w:rPr>
                              <w:t>meropenem</w:t>
                            </w:r>
                            <w:proofErr w:type="spellEnd"/>
                            <w:r w:rsidRPr="008B6E52">
                              <w:rPr>
                                <w:color w:val="0070C0"/>
                                <w:sz w:val="22"/>
                              </w:rPr>
                              <w:t xml:space="preserve">, and metronidazole. </w:t>
                            </w:r>
                          </w:p>
                          <w:p w14:paraId="5DF1DC9F" w14:textId="77777777" w:rsidR="006628C3" w:rsidRPr="008B6E52" w:rsidRDefault="00DA7B74" w:rsidP="00DA7B74">
                            <w:pPr>
                              <w:rPr>
                                <w:color w:val="0070C0"/>
                                <w:sz w:val="22"/>
                              </w:rPr>
                            </w:pPr>
                            <w:r w:rsidRPr="008B6E52">
                              <w:rPr>
                                <w:color w:val="0070C0"/>
                                <w:sz w:val="22"/>
                              </w:rPr>
                              <w:t xml:space="preserve">We have also suggested an alternative model (ZOIB), and how it might be improved by accounting for the natural ordering in the data, which is currently ignored.  Marginalisation is also an attractive proposition. </w:t>
                            </w:r>
                          </w:p>
                          <w:p w14:paraId="282BEAFC" w14:textId="49C321BB" w:rsidR="00DA7B74" w:rsidRPr="008B6E52" w:rsidRDefault="00DA7B74" w:rsidP="00DA7B74">
                            <w:pPr>
                              <w:rPr>
                                <w:color w:val="FF0000"/>
                              </w:rPr>
                            </w:pPr>
                            <w:r w:rsidRPr="008B6E52">
                              <w:rPr>
                                <w:color w:val="FF0000"/>
                                <w:sz w:val="22"/>
                              </w:rPr>
                              <w:t xml:space="preserve">Concerns involve the generalisability of the model due to the subpopulation of a single hospital which could mean ignored hospital-specific or location-specific effects.  The average age of patients is also very high, with the minimum average age on a ward-week being 45.Additionally, there may be selection bias due to the study being in a hospital setting where people are already ill.  There is also the concern of the model’s poor predictive performance, even when considering the purposefully </w:t>
                            </w:r>
                            <w:proofErr w:type="spellStart"/>
                            <w:r w:rsidRPr="008B6E52">
                              <w:rPr>
                                <w:color w:val="FF0000"/>
                                <w:sz w:val="22"/>
                              </w:rPr>
                              <w:t>overfit</w:t>
                            </w:r>
                            <w:proofErr w:type="spellEnd"/>
                            <w:r w:rsidRPr="008B6E52">
                              <w:rPr>
                                <w:color w:val="FF0000"/>
                                <w:sz w:val="22"/>
                              </w:rPr>
                              <w:t xml:space="preserve">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4B5D0" id="Rounded Rectangle 4" o:spid="_x0000_s1028" style="position:absolute;margin-left:-9pt;margin-top:11.7pt;width:485pt;height:3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" fillcolor="white [3201]" strokecolor="#4bacc6 [3208]" strokeweight=".25pt">
                <v:textbox>
                  <w:txbxContent>
                    <w:p w14:paraId="77318E4D" w14:textId="77777777" w:rsidR="00DA7B74" w:rsidRPr="00DA7B74" w:rsidRDefault="00DA7B74" w:rsidP="00DA7B74">
                      <w:pPr>
                        <w:rPr>
                          <w:sz w:val="22"/>
                        </w:rPr>
                      </w:pPr>
                      <w:r w:rsidRPr="00DA7B74">
                        <w:rPr>
                          <w:sz w:val="22"/>
                        </w:rPr>
                        <w:t>7    Conclusion</w:t>
                      </w:r>
                    </w:p>
                    <w:p w14:paraId="6E72829D" w14:textId="77777777" w:rsidR="006628C3" w:rsidRPr="008B6E52" w:rsidRDefault="00DA7B74" w:rsidP="00DA7B74">
                      <w:pPr>
                        <w:rPr>
                          <w:color w:val="0070C0"/>
                          <w:sz w:val="22"/>
                        </w:rPr>
                      </w:pPr>
                      <w:r w:rsidRPr="008B6E52">
                        <w:rPr>
                          <w:color w:val="7030A0"/>
                          <w:sz w:val="22"/>
                        </w:rPr>
                        <w:t xml:space="preserve">The objective of this paper was to establish if there exists an association between drug use (measured in DDD/1000 OBD) and AMR (measured by proportion of clinical isolates exhibiting resistance) at the hospital level, using a Bayesian </w:t>
                      </w:r>
                      <w:proofErr w:type="spellStart"/>
                      <w:r w:rsidRPr="008B6E52">
                        <w:rPr>
                          <w:color w:val="7030A0"/>
                          <w:sz w:val="22"/>
                        </w:rPr>
                        <w:t>orderd</w:t>
                      </w:r>
                      <w:proofErr w:type="spellEnd"/>
                      <w:r w:rsidRPr="008B6E52">
                        <w:rPr>
                          <w:color w:val="7030A0"/>
                          <w:sz w:val="22"/>
                        </w:rPr>
                        <w:t xml:space="preserve"> logit model. </w:t>
                      </w:r>
                      <w:r w:rsidRPr="008B6E52">
                        <w:rPr>
                          <w:color w:val="0070C0"/>
                          <w:sz w:val="22"/>
                        </w:rPr>
                        <w:t xml:space="preserve">We find a 95% probability of a positive association between DDD and AMR for invasively administered drugs, with a 97% probability that non-invasive administration leads to a smaller association between DDD and AMR. This latter association may even be negative, however the probability of this is only 80% which is too small to draw conclusions from.  The relative importance of invasively administered DDD in determining the proportion group is small, with a minimum transition ratio of 23.65 for a bottom to bottom transition.  These ratios were smallest at more extreme proportions, perhaps implying a tipping-point phenomenon. In general, resistance mostly arises from a few drugs - namely amoxicillin, doxycycline, and trimethoprim.  The drugs with the most negative association were </w:t>
                      </w:r>
                      <w:proofErr w:type="spellStart"/>
                      <w:r w:rsidRPr="008B6E52">
                        <w:rPr>
                          <w:color w:val="0070C0"/>
                          <w:sz w:val="22"/>
                        </w:rPr>
                        <w:t>linzolid</w:t>
                      </w:r>
                      <w:proofErr w:type="spellEnd"/>
                      <w:r w:rsidRPr="008B6E52">
                        <w:rPr>
                          <w:color w:val="0070C0"/>
                          <w:sz w:val="22"/>
                        </w:rPr>
                        <w:t xml:space="preserve">, </w:t>
                      </w:r>
                      <w:proofErr w:type="spellStart"/>
                      <w:r w:rsidRPr="008B6E52">
                        <w:rPr>
                          <w:color w:val="0070C0"/>
                          <w:sz w:val="22"/>
                        </w:rPr>
                        <w:t>meropenem</w:t>
                      </w:r>
                      <w:proofErr w:type="spellEnd"/>
                      <w:r w:rsidRPr="008B6E52">
                        <w:rPr>
                          <w:color w:val="0070C0"/>
                          <w:sz w:val="22"/>
                        </w:rPr>
                        <w:t xml:space="preserve">, and metronidazole. </w:t>
                      </w:r>
                    </w:p>
                    <w:p w14:paraId="5DF1DC9F" w14:textId="77777777" w:rsidR="006628C3" w:rsidRPr="008B6E52" w:rsidRDefault="00DA7B74" w:rsidP="00DA7B74">
                      <w:pPr>
                        <w:rPr>
                          <w:color w:val="0070C0"/>
                          <w:sz w:val="22"/>
                        </w:rPr>
                      </w:pPr>
                      <w:r w:rsidRPr="008B6E52">
                        <w:rPr>
                          <w:color w:val="0070C0"/>
                          <w:sz w:val="22"/>
                        </w:rPr>
                        <w:t xml:space="preserve">We have also suggested an alternative model (ZOIB), and how it might be improved by accounting for the natural ordering in the data, which is currently ignored.  Marginalisation is also an attractive proposition. </w:t>
                      </w:r>
                    </w:p>
                    <w:p w14:paraId="282BEAFC" w14:textId="49C321BB" w:rsidR="00DA7B74" w:rsidRPr="008B6E52" w:rsidRDefault="00DA7B74" w:rsidP="00DA7B74">
                      <w:pPr>
                        <w:rPr>
                          <w:color w:val="FF0000"/>
                        </w:rPr>
                      </w:pPr>
                      <w:r w:rsidRPr="008B6E52">
                        <w:rPr>
                          <w:color w:val="FF0000"/>
                          <w:sz w:val="22"/>
                        </w:rPr>
                        <w:t xml:space="preserve">Concerns involve the generalisability of the model due to the subpopulation of a single hospital which could mean ignored hospital-specific or location-specific effects.  The average age of patients is also very high, with the minimum average age on a ward-week being 45.Additionally, there may be selection bias due to the study being in a hospital setting where people are already ill.  There is also the concern of the model’s poor predictive performance, even when considering the purposefully </w:t>
                      </w:r>
                      <w:proofErr w:type="spellStart"/>
                      <w:r w:rsidRPr="008B6E52">
                        <w:rPr>
                          <w:color w:val="FF0000"/>
                          <w:sz w:val="22"/>
                        </w:rPr>
                        <w:t>overfit</w:t>
                      </w:r>
                      <w:proofErr w:type="spellEnd"/>
                      <w:r w:rsidRPr="008B6E52">
                        <w:rPr>
                          <w:color w:val="FF0000"/>
                          <w:sz w:val="22"/>
                        </w:rPr>
                        <w:t xml:space="preserve"> model.</w:t>
                      </w:r>
                    </w:p>
                  </w:txbxContent>
                </v:textbox>
              </v:roundrect>
            </w:pict>
          </mc:Fallback>
        </mc:AlternateContent>
      </w:r>
    </w:p>
    <w:p w14:paraId="797DB7BA" w14:textId="78E71E7D" w:rsidR="00DA7B74" w:rsidRDefault="00DA7B74" w:rsidP="004E324E">
      <w:pPr>
        <w:rPr>
          <w:rFonts w:ascii="Arial" w:hAnsi="Arial" w:cs="Arial"/>
        </w:rPr>
      </w:pPr>
    </w:p>
    <w:p w14:paraId="5D6C00F2" w14:textId="7CDFD695" w:rsidR="00DA7B74" w:rsidRDefault="00DA7B74" w:rsidP="004E324E">
      <w:pPr>
        <w:rPr>
          <w:rFonts w:ascii="Arial" w:hAnsi="Arial" w:cs="Arial"/>
        </w:rPr>
      </w:pPr>
    </w:p>
    <w:p w14:paraId="61F92443" w14:textId="751EB580" w:rsidR="00DA7B74" w:rsidRDefault="00DA7B74" w:rsidP="004E324E">
      <w:pPr>
        <w:rPr>
          <w:rFonts w:ascii="Arial" w:hAnsi="Arial" w:cs="Arial"/>
        </w:rPr>
      </w:pPr>
    </w:p>
    <w:p w14:paraId="61B09C4E" w14:textId="77CB60A2" w:rsidR="00DA7B74" w:rsidRDefault="00DA7B74" w:rsidP="004E324E">
      <w:pPr>
        <w:rPr>
          <w:rFonts w:ascii="Arial" w:hAnsi="Arial" w:cs="Arial"/>
        </w:rPr>
      </w:pPr>
    </w:p>
    <w:p w14:paraId="45AFFE3E" w14:textId="64B2AA39" w:rsidR="00DA7B74" w:rsidRDefault="00DA7B74" w:rsidP="004E324E">
      <w:pPr>
        <w:rPr>
          <w:rFonts w:ascii="Arial" w:hAnsi="Arial" w:cs="Arial"/>
        </w:rPr>
      </w:pPr>
    </w:p>
    <w:p w14:paraId="35393B01" w14:textId="6C55A1DA" w:rsidR="00DA7B74" w:rsidRDefault="00DA7B74" w:rsidP="004E324E">
      <w:pPr>
        <w:rPr>
          <w:rFonts w:ascii="Arial" w:hAnsi="Arial" w:cs="Arial"/>
        </w:rPr>
      </w:pPr>
    </w:p>
    <w:p w14:paraId="2C2F167E" w14:textId="2A8ACCCC" w:rsidR="00DA7B74" w:rsidRDefault="00DA7B74" w:rsidP="004E324E">
      <w:pPr>
        <w:rPr>
          <w:rFonts w:ascii="Arial" w:hAnsi="Arial" w:cs="Arial"/>
        </w:rPr>
      </w:pPr>
    </w:p>
    <w:p w14:paraId="29DF754B" w14:textId="0C161CAA" w:rsidR="00DA7B74" w:rsidRDefault="00DA7B74" w:rsidP="004E324E">
      <w:pPr>
        <w:rPr>
          <w:rFonts w:ascii="Arial" w:hAnsi="Arial" w:cs="Arial"/>
        </w:rPr>
      </w:pPr>
    </w:p>
    <w:p w14:paraId="2B3B0685" w14:textId="58610095" w:rsidR="00DA7B74" w:rsidRDefault="00DA7B74" w:rsidP="004E324E">
      <w:pPr>
        <w:rPr>
          <w:rFonts w:ascii="Arial" w:hAnsi="Arial" w:cs="Arial"/>
        </w:rPr>
      </w:pPr>
    </w:p>
    <w:p w14:paraId="1C602667" w14:textId="6A603E0C" w:rsidR="00DA7B74" w:rsidRDefault="00DA7B74" w:rsidP="004E324E">
      <w:pPr>
        <w:rPr>
          <w:rFonts w:ascii="Arial" w:hAnsi="Arial" w:cs="Arial"/>
        </w:rPr>
      </w:pPr>
    </w:p>
    <w:p w14:paraId="093935DE" w14:textId="6D76E1D4" w:rsidR="00DA7B74" w:rsidRDefault="00DA7B74" w:rsidP="004E324E">
      <w:pPr>
        <w:rPr>
          <w:rFonts w:ascii="Arial" w:hAnsi="Arial" w:cs="Arial"/>
        </w:rPr>
      </w:pPr>
    </w:p>
    <w:p w14:paraId="04C272F0" w14:textId="72949CCD" w:rsidR="00DA7B74" w:rsidRDefault="00DA7B74" w:rsidP="004E324E">
      <w:pPr>
        <w:rPr>
          <w:rFonts w:ascii="Arial" w:hAnsi="Arial" w:cs="Arial"/>
        </w:rPr>
      </w:pPr>
    </w:p>
    <w:p w14:paraId="4A50486D" w14:textId="497E7C6B" w:rsidR="00DA7B74" w:rsidRDefault="00DA7B74" w:rsidP="004E324E">
      <w:pPr>
        <w:rPr>
          <w:rFonts w:ascii="Arial" w:hAnsi="Arial" w:cs="Arial"/>
        </w:rPr>
      </w:pPr>
    </w:p>
    <w:p w14:paraId="1477E965" w14:textId="634AF024" w:rsidR="00DA7B74" w:rsidRDefault="00DA7B74" w:rsidP="004E324E">
      <w:pPr>
        <w:rPr>
          <w:rFonts w:ascii="Arial" w:hAnsi="Arial" w:cs="Arial"/>
        </w:rPr>
      </w:pPr>
    </w:p>
    <w:p w14:paraId="4CEB7E21" w14:textId="3126D8C5" w:rsidR="00DA7B74" w:rsidRDefault="00DA7B74" w:rsidP="004E324E">
      <w:pPr>
        <w:rPr>
          <w:rFonts w:ascii="Arial" w:hAnsi="Arial" w:cs="Arial"/>
        </w:rPr>
      </w:pPr>
    </w:p>
    <w:p w14:paraId="3A56CD4A" w14:textId="404BEAE8" w:rsidR="00DA7B74" w:rsidRDefault="00DA7B74" w:rsidP="004E324E">
      <w:pPr>
        <w:rPr>
          <w:rFonts w:ascii="Arial" w:hAnsi="Arial" w:cs="Arial"/>
        </w:rPr>
      </w:pPr>
    </w:p>
    <w:p w14:paraId="3B7FA6A4" w14:textId="39D8597B" w:rsidR="00DA7B74" w:rsidRDefault="00DA7B74" w:rsidP="004E324E">
      <w:pPr>
        <w:rPr>
          <w:rFonts w:ascii="Arial" w:hAnsi="Arial" w:cs="Arial"/>
        </w:rPr>
      </w:pPr>
    </w:p>
    <w:p w14:paraId="3BEDA850" w14:textId="34225ED0" w:rsidR="00DA7B74" w:rsidRDefault="00DA7B74" w:rsidP="004E324E">
      <w:pPr>
        <w:rPr>
          <w:rFonts w:ascii="Arial" w:hAnsi="Arial" w:cs="Arial"/>
        </w:rPr>
      </w:pPr>
    </w:p>
    <w:p w14:paraId="259C17D9" w14:textId="1C2235C4" w:rsidR="00DA7B74" w:rsidRDefault="00DA7B74" w:rsidP="004E324E">
      <w:pPr>
        <w:rPr>
          <w:rFonts w:ascii="Arial" w:hAnsi="Arial" w:cs="Arial"/>
        </w:rPr>
      </w:pPr>
    </w:p>
    <w:p w14:paraId="67756835" w14:textId="24FDA364" w:rsidR="00DA7B74" w:rsidRDefault="00DA7B74" w:rsidP="004E324E">
      <w:pPr>
        <w:rPr>
          <w:rFonts w:ascii="Arial" w:hAnsi="Arial" w:cs="Arial"/>
        </w:rPr>
      </w:pPr>
    </w:p>
    <w:p w14:paraId="3171F172" w14:textId="2AA4B12D" w:rsidR="00DA7B74" w:rsidRDefault="00DA7B74" w:rsidP="004E324E">
      <w:pPr>
        <w:rPr>
          <w:rFonts w:ascii="Arial" w:hAnsi="Arial" w:cs="Arial"/>
        </w:rPr>
      </w:pPr>
    </w:p>
    <w:p w14:paraId="0B2DD169" w14:textId="05B804FB" w:rsidR="00DA7B74" w:rsidRDefault="00DA7B74" w:rsidP="004E324E">
      <w:pPr>
        <w:rPr>
          <w:rFonts w:ascii="Arial" w:hAnsi="Arial" w:cs="Arial"/>
        </w:rPr>
      </w:pPr>
    </w:p>
    <w:p w14:paraId="7FA3CA6D" w14:textId="6E549179" w:rsidR="00DA7B74" w:rsidRDefault="00DA7B74" w:rsidP="004E324E">
      <w:pPr>
        <w:rPr>
          <w:rFonts w:ascii="Arial" w:hAnsi="Arial" w:cs="Arial"/>
        </w:rPr>
      </w:pPr>
    </w:p>
    <w:p w14:paraId="36EC6304" w14:textId="77777777" w:rsidR="008B6E52" w:rsidRDefault="008B6E52" w:rsidP="008B6E52">
      <w:pPr>
        <w:pStyle w:val="Heading2"/>
        <w:ind w:left="360"/>
        <w:rPr>
          <w:rFonts w:ascii="Arial" w:hAnsi="Arial" w:cs="Arial"/>
        </w:rPr>
      </w:pPr>
    </w:p>
    <w:p w14:paraId="1A58A1F4" w14:textId="7E935D0F" w:rsidR="008B6E52" w:rsidRDefault="008B6E52" w:rsidP="008B6E52">
      <w:pPr>
        <w:pStyle w:val="Heading2"/>
        <w:ind w:left="360"/>
        <w:rPr>
          <w:rFonts w:ascii="Arial" w:hAnsi="Arial" w:cs="Arial"/>
        </w:rPr>
      </w:pPr>
    </w:p>
    <w:p w14:paraId="76660AF9" w14:textId="7285D9FD" w:rsidR="008B6E52" w:rsidRDefault="008B6E52" w:rsidP="008B6E52"/>
    <w:p w14:paraId="76A3DB46" w14:textId="6F7A191F" w:rsidR="008B6E52" w:rsidRDefault="008B6E52" w:rsidP="008B6E52"/>
    <w:p w14:paraId="3A22B72B" w14:textId="77777777" w:rsidR="008B6E52" w:rsidRPr="008B6E52" w:rsidRDefault="008B6E52" w:rsidP="008B6E52"/>
    <w:p w14:paraId="02D8817A" w14:textId="7159BA9A" w:rsidR="006628C3" w:rsidRDefault="006628C3" w:rsidP="008206D4">
      <w:pPr>
        <w:pStyle w:val="Heading2"/>
        <w:numPr>
          <w:ilvl w:val="0"/>
          <w:numId w:val="2"/>
        </w:numPr>
        <w:rPr>
          <w:rFonts w:ascii="Arial" w:hAnsi="Arial" w:cs="Arial"/>
        </w:rPr>
      </w:pPr>
      <w:r>
        <w:rPr>
          <w:rFonts w:ascii="Arial" w:hAnsi="Arial" w:cs="Arial"/>
        </w:rPr>
        <w:t>Executive summary</w:t>
      </w:r>
    </w:p>
    <w:p w14:paraId="3D5DAFC4" w14:textId="72C0DA8B" w:rsidR="00DA7B74" w:rsidRDefault="00DA7B74" w:rsidP="004E324E">
      <w:pPr>
        <w:rPr>
          <w:rFonts w:ascii="Arial" w:hAnsi="Arial" w:cs="Arial"/>
        </w:rPr>
      </w:pPr>
    </w:p>
    <w:p w14:paraId="24BEB4AF" w14:textId="0F7E8291" w:rsidR="006628C3" w:rsidRDefault="006628C3" w:rsidP="006628C3">
      <w:pPr>
        <w:rPr>
          <w:rFonts w:ascii="Arial" w:hAnsi="Arial" w:cs="Arial"/>
        </w:rPr>
      </w:pPr>
      <w:r>
        <w:rPr>
          <w:rFonts w:ascii="Arial" w:hAnsi="Arial" w:cs="Arial"/>
        </w:rPr>
        <w:t>Look at the research project extract. Can you identify typical elements of an executive summary?</w:t>
      </w:r>
    </w:p>
    <w:p w14:paraId="43265AA4" w14:textId="540F47BB" w:rsidR="006628C3" w:rsidRPr="008B6E52" w:rsidRDefault="006628C3" w:rsidP="008206D4">
      <w:pPr>
        <w:pStyle w:val="ListParagraph"/>
        <w:numPr>
          <w:ilvl w:val="0"/>
          <w:numId w:val="8"/>
        </w:numPr>
        <w:rPr>
          <w:color w:val="0070C0"/>
        </w:rPr>
      </w:pPr>
      <w:r w:rsidRPr="008B6E52">
        <w:rPr>
          <w:color w:val="0070C0"/>
        </w:rPr>
        <w:t>Description of the problem</w:t>
      </w:r>
    </w:p>
    <w:p w14:paraId="317020D8" w14:textId="66EF479F" w:rsidR="006628C3" w:rsidRPr="008B6E52" w:rsidRDefault="006628C3" w:rsidP="008206D4">
      <w:pPr>
        <w:pStyle w:val="ListParagraph"/>
        <w:numPr>
          <w:ilvl w:val="0"/>
          <w:numId w:val="8"/>
        </w:numPr>
        <w:rPr>
          <w:color w:val="00B050"/>
        </w:rPr>
      </w:pPr>
      <w:r w:rsidRPr="008B6E52">
        <w:rPr>
          <w:color w:val="00B050"/>
        </w:rPr>
        <w:t>Summary of findings</w:t>
      </w:r>
    </w:p>
    <w:p w14:paraId="35A8BB16" w14:textId="3DBF1743" w:rsidR="006628C3" w:rsidRPr="008B6E52" w:rsidRDefault="006628C3" w:rsidP="008206D4">
      <w:pPr>
        <w:pStyle w:val="ListParagraph"/>
        <w:numPr>
          <w:ilvl w:val="0"/>
          <w:numId w:val="8"/>
        </w:numPr>
        <w:rPr>
          <w:color w:val="FF0000"/>
        </w:rPr>
      </w:pPr>
      <w:r w:rsidRPr="008B6E52">
        <w:rPr>
          <w:color w:val="FF0000"/>
        </w:rPr>
        <w:t>Proposed solution</w:t>
      </w:r>
    </w:p>
    <w:p w14:paraId="5E0CF366" w14:textId="2B460BE0" w:rsidR="006628C3" w:rsidRDefault="006628C3" w:rsidP="004E324E">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4896" behindDoc="0" locked="0" layoutInCell="1" allowOverlap="1" wp14:anchorId="5FEB7424" wp14:editId="5727E032">
                <wp:simplePos x="0" y="0"/>
                <wp:positionH relativeFrom="column">
                  <wp:posOffset>19050</wp:posOffset>
                </wp:positionH>
                <wp:positionV relativeFrom="paragraph">
                  <wp:posOffset>253365</wp:posOffset>
                </wp:positionV>
                <wp:extent cx="5759450" cy="7270750"/>
                <wp:effectExtent l="0" t="0" r="12700" b="25400"/>
                <wp:wrapNone/>
                <wp:docPr id="5" name="Rounded Rectangle 5"/>
                <wp:cNvGraphicFramePr/>
                <a:graphic xmlns:a="http://schemas.openxmlformats.org/drawingml/2006/main">
                  <a:graphicData uri="http://schemas.microsoft.com/office/word/2010/wordprocessingShape">
                    <wps:wsp>
                      <wps:cNvSpPr/>
                      <wps:spPr>
                        <a:xfrm>
                          <a:off x="0" y="0"/>
                          <a:ext cx="5759450" cy="7270750"/>
                        </a:xfrm>
                        <a:prstGeom prst="roundRect">
                          <a:avLst/>
                        </a:prstGeom>
                        <a:ln w="3175"/>
                      </wps:spPr>
                      <wps:style>
                        <a:lnRef idx="2">
                          <a:schemeClr val="accent5"/>
                        </a:lnRef>
                        <a:fillRef idx="1">
                          <a:schemeClr val="lt1"/>
                        </a:fillRef>
                        <a:effectRef idx="0">
                          <a:schemeClr val="accent5"/>
                        </a:effectRef>
                        <a:fontRef idx="minor">
                          <a:schemeClr val="dk1"/>
                        </a:fontRef>
                      </wps:style>
                      <wps:txbx>
                        <w:txbxContent>
                          <w:p w14:paraId="2847C000" w14:textId="2DCFDB91" w:rsidR="006628C3" w:rsidRDefault="006628C3" w:rsidP="006628C3">
                            <w:pPr>
                              <w:rPr>
                                <w:b/>
                                <w:sz w:val="22"/>
                              </w:rPr>
                            </w:pPr>
                            <w:r w:rsidRPr="006628C3">
                              <w:rPr>
                                <w:b/>
                                <w:sz w:val="22"/>
                              </w:rPr>
                              <w:t>Executive Summary</w:t>
                            </w:r>
                          </w:p>
                          <w:p w14:paraId="1A271EF2" w14:textId="77777777" w:rsidR="006628C3" w:rsidRPr="006628C3" w:rsidRDefault="006628C3" w:rsidP="006628C3">
                            <w:pPr>
                              <w:rPr>
                                <w:b/>
                                <w:sz w:val="22"/>
                              </w:rPr>
                            </w:pPr>
                          </w:p>
                          <w:p w14:paraId="4988491B" w14:textId="77777777" w:rsidR="006628C3" w:rsidRPr="008B6E52" w:rsidRDefault="006628C3" w:rsidP="006628C3">
                            <w:pPr>
                              <w:rPr>
                                <w:color w:val="0070C0"/>
                                <w:sz w:val="22"/>
                              </w:rPr>
                            </w:pPr>
                            <w:r w:rsidRPr="008B6E52">
                              <w:rPr>
                                <w:color w:val="0070C0"/>
                                <w:sz w:val="22"/>
                              </w:rPr>
                              <w:t xml:space="preserve">At  the  moment,  the  Great  Britain  (GB)  and  Ireland  (IR)  electricity  systems  are  two  stand-alone  system. When one system has surplus while the other has shortage, the shortfall in one system cannot be fulfilled by excess in other system. If the two systems are connected, then deficit in one system can be met by surplus in the other system. </w:t>
                            </w:r>
                          </w:p>
                          <w:p w14:paraId="513200FA" w14:textId="77777777" w:rsidR="006628C3" w:rsidRPr="008B6E52" w:rsidRDefault="006628C3" w:rsidP="006628C3">
                            <w:pPr>
                              <w:rPr>
                                <w:color w:val="0070C0"/>
                                <w:sz w:val="22"/>
                              </w:rPr>
                            </w:pPr>
                            <w:r w:rsidRPr="008B6E52">
                              <w:rPr>
                                <w:color w:val="0070C0"/>
                                <w:sz w:val="22"/>
                              </w:rPr>
                              <w:t xml:space="preserve">The cost of connecting these two systems is significant, therefore we need to understand the benefit from linking the two systems. For this reason, a realistic assessment of the joint capacity from these two systems is essential. </w:t>
                            </w:r>
                            <w:r w:rsidRPr="008B6E52">
                              <w:rPr>
                                <w:b/>
                                <w:color w:val="0070C0"/>
                                <w:sz w:val="22"/>
                              </w:rPr>
                              <w:t xml:space="preserve">What the  LOLE  will  be  for  GB  and  IR  if  the  two  systems  are  connected  with  1  GW interconnector? </w:t>
                            </w:r>
                            <w:r w:rsidRPr="008B6E52">
                              <w:rPr>
                                <w:color w:val="0070C0"/>
                                <w:sz w:val="22"/>
                              </w:rPr>
                              <w:t xml:space="preserve">Intuitively, we know that joint system will have a lower LOLE1but we still do not know by how much. </w:t>
                            </w:r>
                            <w:r w:rsidRPr="008B6E52">
                              <w:rPr>
                                <w:b/>
                                <w:color w:val="0070C0"/>
                                <w:sz w:val="22"/>
                              </w:rPr>
                              <w:t>How do we estimate the LOLE for joint system?</w:t>
                            </w:r>
                            <w:r w:rsidRPr="008B6E52">
                              <w:rPr>
                                <w:color w:val="0070C0"/>
                                <w:sz w:val="22"/>
                              </w:rPr>
                              <w:t xml:space="preserve">  </w:t>
                            </w:r>
                          </w:p>
                          <w:p w14:paraId="5B499625" w14:textId="0C987E4D" w:rsidR="006628C3" w:rsidRDefault="006628C3" w:rsidP="006628C3">
                            <w:pPr>
                              <w:rPr>
                                <w:sz w:val="22"/>
                              </w:rPr>
                            </w:pPr>
                            <w:r w:rsidRPr="006628C3">
                              <w:rPr>
                                <w:sz w:val="22"/>
                              </w:rPr>
                              <w:t>So far, we have well established approach to estimate the LOLE for one isolated model—i.e. Time Collapse Model –</w:t>
                            </w:r>
                            <w:proofErr w:type="spellStart"/>
                            <w:r w:rsidRPr="006628C3">
                              <w:rPr>
                                <w:i/>
                                <w:sz w:val="22"/>
                              </w:rPr>
                              <w:t>Hindcastand</w:t>
                            </w:r>
                            <w:proofErr w:type="spellEnd"/>
                            <w:r w:rsidRPr="006628C3">
                              <w:rPr>
                                <w:i/>
                                <w:sz w:val="22"/>
                              </w:rPr>
                              <w:t xml:space="preserve"> Independence approach</w:t>
                            </w:r>
                            <w:r w:rsidRPr="006628C3">
                              <w:rPr>
                                <w:sz w:val="22"/>
                              </w:rPr>
                              <w:t xml:space="preserve">—but until now we still do not have a model to estimate the LOLE for joint system. </w:t>
                            </w:r>
                          </w:p>
                          <w:p w14:paraId="5AE7E452" w14:textId="77777777" w:rsidR="006628C3" w:rsidRDefault="006628C3" w:rsidP="006628C3">
                            <w:pPr>
                              <w:rPr>
                                <w:sz w:val="22"/>
                              </w:rPr>
                            </w:pPr>
                            <w:r w:rsidRPr="006628C3">
                              <w:rPr>
                                <w:sz w:val="22"/>
                              </w:rPr>
                              <w:t xml:space="preserve">This project offers a model to estimate the LOLE for joint system. It describes new statistical approaches to extend the existing </w:t>
                            </w:r>
                            <w:proofErr w:type="spellStart"/>
                            <w:r w:rsidRPr="006628C3">
                              <w:rPr>
                                <w:i/>
                                <w:sz w:val="22"/>
                              </w:rPr>
                              <w:t>Hindcast</w:t>
                            </w:r>
                            <w:proofErr w:type="spellEnd"/>
                            <w:r w:rsidRPr="006628C3">
                              <w:rPr>
                                <w:sz w:val="22"/>
                              </w:rPr>
                              <w:t xml:space="preserve"> approach2of estimating the LOLE and assessing the uncertainty for two joined systems, both for the first rule (each system to meet its own demand first) and the second rule (both systems to share deficit proportionally). By using these new approaches, the expected LOLE for GB and IR can be estimated. </w:t>
                            </w:r>
                          </w:p>
                          <w:p w14:paraId="1F9A1F49" w14:textId="41B6F3C1" w:rsidR="006628C3" w:rsidRPr="008B6E52" w:rsidRDefault="006628C3" w:rsidP="006628C3">
                            <w:pPr>
                              <w:rPr>
                                <w:color w:val="00B050"/>
                                <w:sz w:val="22"/>
                              </w:rPr>
                            </w:pPr>
                            <w:r w:rsidRPr="008B6E52">
                              <w:rPr>
                                <w:color w:val="00B050"/>
                                <w:sz w:val="22"/>
                              </w:rPr>
                              <w:t xml:space="preserve">According to our analysis, linking the Systems significantly reduces the shortage problem for both GB and IR. In one isolated system, each system has LOLE at ~3 hours/year. In two joined systems, the LOLE is 1.73 hours/year and 0.47 hours/year for GB and IR. </w:t>
                            </w:r>
                          </w:p>
                          <w:p w14:paraId="043AAEE8" w14:textId="1E942A46" w:rsidR="006628C3" w:rsidRPr="008B6E52" w:rsidRDefault="006628C3" w:rsidP="006628C3">
                            <w:pPr>
                              <w:rPr>
                                <w:color w:val="00B050"/>
                                <w:sz w:val="22"/>
                              </w:rPr>
                            </w:pPr>
                            <w:r w:rsidRPr="008B6E52">
                              <w:rPr>
                                <w:color w:val="00B050"/>
                                <w:sz w:val="22"/>
                              </w:rPr>
                              <w:t xml:space="preserve">In addition, the Joint System also narrow the LOLE confidence interval (i.e. reduce the uncertainties). The LOLE 95% confidence interval for GB and IR is 1.31-2.23 hours/year and 0.26-0.72 hours/year—well below 3.00 hours/year, indicating clearly the benefit of joint systems. </w:t>
                            </w:r>
                          </w:p>
                          <w:p w14:paraId="35A964B2" w14:textId="1E105E0A" w:rsidR="006628C3" w:rsidRPr="008B6E52" w:rsidRDefault="006628C3" w:rsidP="006628C3">
                            <w:pPr>
                              <w:rPr>
                                <w:color w:val="00B050"/>
                                <w:sz w:val="22"/>
                              </w:rPr>
                            </w:pPr>
                            <w:r w:rsidRPr="008B6E52">
                              <w:rPr>
                                <w:color w:val="00B050"/>
                                <w:sz w:val="22"/>
                              </w:rPr>
                              <w:t xml:space="preserve">Furthermore, the Joint System considerably increase the stability of the system (i.e. becoming less sensitive to changes in wind capacity and demand). </w:t>
                            </w:r>
                          </w:p>
                          <w:p w14:paraId="52D90E7E" w14:textId="77777777" w:rsidR="006628C3" w:rsidRDefault="006628C3" w:rsidP="006628C3">
                            <w:pPr>
                              <w:rPr>
                                <w:sz w:val="22"/>
                              </w:rPr>
                            </w:pPr>
                            <w:r w:rsidRPr="006628C3">
                              <w:rPr>
                                <w:sz w:val="22"/>
                              </w:rPr>
                              <w:t>While having the interconnector is beneficial, increasing the interconnector capacity to maximum is not optimal. Simulation suggests that increasing the interconnection capacity up to 1.5 GW will give us a significant benefit in term of LOLE reduction. However, no significant benefit beyond building more than 2.0 GW capacity.</w:t>
                            </w:r>
                          </w:p>
                          <w:p w14:paraId="68BBE2AD" w14:textId="6798253A" w:rsidR="006628C3" w:rsidRPr="008B6E52" w:rsidRDefault="006628C3" w:rsidP="006628C3">
                            <w:pPr>
                              <w:rPr>
                                <w:color w:val="FF0000"/>
                                <w:sz w:val="22"/>
                              </w:rPr>
                            </w:pPr>
                            <w:r w:rsidRPr="008B6E52">
                              <w:rPr>
                                <w:color w:val="FF0000"/>
                                <w:sz w:val="22"/>
                              </w:rPr>
                              <w:t>To conclude, we strongly recommend that GB and IR should build the interconnector and the optimal capacity is between 1-2 GW.</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EB7424" id="Rounded Rectangle 5" o:spid="_x0000_s1029" style="position:absolute;margin-left:1.5pt;margin-top:19.95pt;width:453.5pt;height:57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" fillcolor="white [3201]" strokecolor="#4bacc6 [3208]" strokeweight=".25pt">
                <v:textbox>
                  <w:txbxContent>
                    <w:p w14:paraId="2847C000" w14:textId="2DCFDB91" w:rsidR="006628C3" w:rsidRDefault="006628C3" w:rsidP="006628C3">
                      <w:pPr>
                        <w:rPr>
                          <w:b/>
                          <w:sz w:val="22"/>
                        </w:rPr>
                      </w:pPr>
                      <w:r w:rsidRPr="006628C3">
                        <w:rPr>
                          <w:b/>
                          <w:sz w:val="22"/>
                        </w:rPr>
                        <w:t>Executive Summary</w:t>
                      </w:r>
                    </w:p>
                    <w:p w14:paraId="1A271EF2" w14:textId="77777777" w:rsidR="006628C3" w:rsidRPr="006628C3" w:rsidRDefault="006628C3" w:rsidP="006628C3">
                      <w:pPr>
                        <w:rPr>
                          <w:b/>
                          <w:sz w:val="22"/>
                        </w:rPr>
                      </w:pPr>
                    </w:p>
                    <w:p w14:paraId="4988491B" w14:textId="77777777" w:rsidR="006628C3" w:rsidRPr="008B6E52" w:rsidRDefault="006628C3" w:rsidP="006628C3">
                      <w:pPr>
                        <w:rPr>
                          <w:color w:val="0070C0"/>
                          <w:sz w:val="22"/>
                        </w:rPr>
                      </w:pPr>
                      <w:r w:rsidRPr="008B6E52">
                        <w:rPr>
                          <w:color w:val="0070C0"/>
                          <w:sz w:val="22"/>
                        </w:rPr>
                        <w:t xml:space="preserve">At  the  moment,  the  Great  Britain  (GB)  and  Ireland  (IR)  electricity  systems  are  two  stand-alone  system. When one system has surplus while the other has shortage, the shortfall in one system cannot be fulfilled by excess in other system. If the two systems are connected, then deficit in one system can be met by surplus in the other system. </w:t>
                      </w:r>
                    </w:p>
                    <w:p w14:paraId="513200FA" w14:textId="77777777" w:rsidR="006628C3" w:rsidRPr="008B6E52" w:rsidRDefault="006628C3" w:rsidP="006628C3">
                      <w:pPr>
                        <w:rPr>
                          <w:color w:val="0070C0"/>
                          <w:sz w:val="22"/>
                        </w:rPr>
                      </w:pPr>
                      <w:r w:rsidRPr="008B6E52">
                        <w:rPr>
                          <w:color w:val="0070C0"/>
                          <w:sz w:val="22"/>
                        </w:rPr>
                        <w:t xml:space="preserve">The cost of connecting these two systems is significant, therefore we need to understand the benefit from linking the two systems. For this reason, a realistic assessment of the joint capacity from these two systems is essential. </w:t>
                      </w:r>
                      <w:r w:rsidRPr="008B6E52">
                        <w:rPr>
                          <w:b/>
                          <w:color w:val="0070C0"/>
                          <w:sz w:val="22"/>
                        </w:rPr>
                        <w:t xml:space="preserve">What the  LOLE  will  be  for  GB  and  IR  if  the  two  systems  are  connected  with  1  GW interconnector? </w:t>
                      </w:r>
                      <w:r w:rsidRPr="008B6E52">
                        <w:rPr>
                          <w:color w:val="0070C0"/>
                          <w:sz w:val="22"/>
                        </w:rPr>
                        <w:t xml:space="preserve">Intuitively, we know that joint system will have a lower LOLE1but we still do not know by how much. </w:t>
                      </w:r>
                      <w:r w:rsidRPr="008B6E52">
                        <w:rPr>
                          <w:b/>
                          <w:color w:val="0070C0"/>
                          <w:sz w:val="22"/>
                        </w:rPr>
                        <w:t>How do we estimate the LOLE for joint system?</w:t>
                      </w:r>
                      <w:r w:rsidRPr="008B6E52">
                        <w:rPr>
                          <w:color w:val="0070C0"/>
                          <w:sz w:val="22"/>
                        </w:rPr>
                        <w:t xml:space="preserve">  </w:t>
                      </w:r>
                    </w:p>
                    <w:p w14:paraId="5B499625" w14:textId="0C987E4D" w:rsidR="006628C3" w:rsidRDefault="006628C3" w:rsidP="006628C3">
                      <w:pPr>
                        <w:rPr>
                          <w:sz w:val="22"/>
                        </w:rPr>
                      </w:pPr>
                      <w:r w:rsidRPr="006628C3">
                        <w:rPr>
                          <w:sz w:val="22"/>
                        </w:rPr>
                        <w:t>So far, we have well established approach to estimate the LOLE for one isolated model—i.e. Time Collapse Model –</w:t>
                      </w:r>
                      <w:proofErr w:type="spellStart"/>
                      <w:r w:rsidRPr="006628C3">
                        <w:rPr>
                          <w:i/>
                          <w:sz w:val="22"/>
                        </w:rPr>
                        <w:t>Hindcastand</w:t>
                      </w:r>
                      <w:proofErr w:type="spellEnd"/>
                      <w:r w:rsidRPr="006628C3">
                        <w:rPr>
                          <w:i/>
                          <w:sz w:val="22"/>
                        </w:rPr>
                        <w:t xml:space="preserve"> Independence approach</w:t>
                      </w:r>
                      <w:r w:rsidRPr="006628C3">
                        <w:rPr>
                          <w:sz w:val="22"/>
                        </w:rPr>
                        <w:t xml:space="preserve">—but until now we still do not have a model to estimate the LOLE for joint system. </w:t>
                      </w:r>
                    </w:p>
                    <w:p w14:paraId="5AE7E452" w14:textId="77777777" w:rsidR="006628C3" w:rsidRDefault="006628C3" w:rsidP="006628C3">
                      <w:pPr>
                        <w:rPr>
                          <w:sz w:val="22"/>
                        </w:rPr>
                      </w:pPr>
                      <w:r w:rsidRPr="006628C3">
                        <w:rPr>
                          <w:sz w:val="22"/>
                        </w:rPr>
                        <w:t xml:space="preserve">This project offers a model to estimate the LOLE for joint system. It describes new statistical approaches to extend the existing </w:t>
                      </w:r>
                      <w:proofErr w:type="spellStart"/>
                      <w:r w:rsidRPr="006628C3">
                        <w:rPr>
                          <w:i/>
                          <w:sz w:val="22"/>
                        </w:rPr>
                        <w:t>Hindcast</w:t>
                      </w:r>
                      <w:proofErr w:type="spellEnd"/>
                      <w:r w:rsidRPr="006628C3">
                        <w:rPr>
                          <w:sz w:val="22"/>
                        </w:rPr>
                        <w:t xml:space="preserve"> approach2of estimating the LOLE and assessing the uncertainty for two joined systems, both for the first rule (each system to meet its own demand first) and the second rule (both systems to share deficit proportionally). By using these new approaches, the expected LOLE for GB and IR can be estimated. </w:t>
                      </w:r>
                    </w:p>
                    <w:p w14:paraId="1F9A1F49" w14:textId="41B6F3C1" w:rsidR="006628C3" w:rsidRPr="008B6E52" w:rsidRDefault="006628C3" w:rsidP="006628C3">
                      <w:pPr>
                        <w:rPr>
                          <w:color w:val="00B050"/>
                          <w:sz w:val="22"/>
                        </w:rPr>
                      </w:pPr>
                      <w:r w:rsidRPr="008B6E52">
                        <w:rPr>
                          <w:color w:val="00B050"/>
                          <w:sz w:val="22"/>
                        </w:rPr>
                        <w:t xml:space="preserve">According to our analysis, linking the Systems significantly reduces the shortage problem for both GB and IR. In one isolated system, each system has LOLE at ~3 hours/year. In two joined systems, the LOLE is 1.73 hours/year and 0.47 hours/year for GB and IR. </w:t>
                      </w:r>
                    </w:p>
                    <w:p w14:paraId="043AAEE8" w14:textId="1E942A46" w:rsidR="006628C3" w:rsidRPr="008B6E52" w:rsidRDefault="006628C3" w:rsidP="006628C3">
                      <w:pPr>
                        <w:rPr>
                          <w:color w:val="00B050"/>
                          <w:sz w:val="22"/>
                        </w:rPr>
                      </w:pPr>
                      <w:r w:rsidRPr="008B6E52">
                        <w:rPr>
                          <w:color w:val="00B050"/>
                          <w:sz w:val="22"/>
                        </w:rPr>
                        <w:t xml:space="preserve">In addition, the Joint System also narrow the LOLE confidence interval (i.e. reduce the uncertainties). The LOLE 95% confidence interval for GB and IR is 1.31-2.23 hours/year and 0.26-0.72 hours/year—well below 3.00 hours/year, indicating clearly the benefit of joint systems. </w:t>
                      </w:r>
                    </w:p>
                    <w:p w14:paraId="35A964B2" w14:textId="1E105E0A" w:rsidR="006628C3" w:rsidRPr="008B6E52" w:rsidRDefault="006628C3" w:rsidP="006628C3">
                      <w:pPr>
                        <w:rPr>
                          <w:color w:val="00B050"/>
                          <w:sz w:val="22"/>
                        </w:rPr>
                      </w:pPr>
                      <w:r w:rsidRPr="008B6E52">
                        <w:rPr>
                          <w:color w:val="00B050"/>
                          <w:sz w:val="22"/>
                        </w:rPr>
                        <w:t xml:space="preserve">Furthermore, the Joint System considerably increase the stability of the system (i.e. becoming less sensitive to changes in wind capacity and demand). </w:t>
                      </w:r>
                    </w:p>
                    <w:p w14:paraId="52D90E7E" w14:textId="77777777" w:rsidR="006628C3" w:rsidRDefault="006628C3" w:rsidP="006628C3">
                      <w:pPr>
                        <w:rPr>
                          <w:sz w:val="22"/>
                        </w:rPr>
                      </w:pPr>
                      <w:r w:rsidRPr="006628C3">
                        <w:rPr>
                          <w:sz w:val="22"/>
                        </w:rPr>
                        <w:t>While having the interconnector is beneficial, increasing the interconnector capacity to maximum is not optimal. Simulation suggests that increasing the interconnection capacity up to 1.5 GW will give us a significant benefit in term of LOLE reduction. However, no significant benefit beyond building more than 2.0 GW capacity.</w:t>
                      </w:r>
                    </w:p>
                    <w:p w14:paraId="68BBE2AD" w14:textId="6798253A" w:rsidR="006628C3" w:rsidRPr="008B6E52" w:rsidRDefault="006628C3" w:rsidP="006628C3">
                      <w:pPr>
                        <w:rPr>
                          <w:color w:val="FF0000"/>
                          <w:sz w:val="22"/>
                        </w:rPr>
                      </w:pPr>
                      <w:r w:rsidRPr="008B6E52">
                        <w:rPr>
                          <w:color w:val="FF0000"/>
                          <w:sz w:val="22"/>
                        </w:rPr>
                        <w:t>To conclude, we strongly recommend that GB and IR should build the interconnector and the optimal capacity is between 1-2 GW.</w:t>
                      </w:r>
                      <w:bookmarkStart w:id="1" w:name="_GoBack"/>
                      <w:bookmarkEnd w:id="1"/>
                    </w:p>
                  </w:txbxContent>
                </v:textbox>
              </v:roundrect>
            </w:pict>
          </mc:Fallback>
        </mc:AlternateContent>
      </w:r>
    </w:p>
    <w:sectPr w:rsidR="006628C3" w:rsidSect="004E324E">
      <w:headerReference w:type="default" r:id="rId11"/>
      <w:footerReference w:type="even" r:id="rId12"/>
      <w:footerReference w:type="default" r:id="rId13"/>
      <w:pgSz w:w="11901" w:h="16840"/>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4E8B" w14:textId="77777777" w:rsidR="008B4B6F" w:rsidRDefault="008B4B6F" w:rsidP="006A0662">
      <w:r>
        <w:separator/>
      </w:r>
    </w:p>
  </w:endnote>
  <w:endnote w:type="continuationSeparator" w:id="0">
    <w:p w14:paraId="5CF1D931" w14:textId="77777777" w:rsidR="008B4B6F" w:rsidRDefault="008B4B6F" w:rsidP="006A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adugi">
    <w:altName w:val="Athelas Italic"/>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2808" w14:textId="77777777" w:rsidR="00A22BD8" w:rsidRDefault="00A22BD8" w:rsidP="006A0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48861" w14:textId="77777777" w:rsidR="00A22BD8" w:rsidRDefault="00A22BD8" w:rsidP="006A0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19F4" w14:textId="6470F036" w:rsidR="00A22BD8" w:rsidRPr="004E324E" w:rsidRDefault="00A22BD8" w:rsidP="006A0662">
    <w:pPr>
      <w:pStyle w:val="Footer"/>
      <w:framePr w:wrap="around" w:vAnchor="text" w:hAnchor="margin" w:xAlign="right" w:y="1"/>
      <w:rPr>
        <w:rStyle w:val="PageNumber"/>
        <w:rFonts w:ascii="Arial" w:hAnsi="Arial" w:cs="Arial"/>
        <w:sz w:val="22"/>
        <w:szCs w:val="22"/>
      </w:rPr>
    </w:pPr>
    <w:r w:rsidRPr="004E324E">
      <w:rPr>
        <w:rStyle w:val="PageNumber"/>
        <w:rFonts w:ascii="Arial" w:hAnsi="Arial" w:cs="Arial"/>
        <w:sz w:val="22"/>
        <w:szCs w:val="22"/>
      </w:rPr>
      <w:fldChar w:fldCharType="begin"/>
    </w:r>
    <w:r w:rsidRPr="004E324E">
      <w:rPr>
        <w:rStyle w:val="PageNumber"/>
        <w:rFonts w:ascii="Arial" w:hAnsi="Arial" w:cs="Arial"/>
        <w:sz w:val="22"/>
        <w:szCs w:val="22"/>
      </w:rPr>
      <w:instrText xml:space="preserve">PAGE  </w:instrText>
    </w:r>
    <w:r w:rsidRPr="004E324E">
      <w:rPr>
        <w:rStyle w:val="PageNumber"/>
        <w:rFonts w:ascii="Arial" w:hAnsi="Arial" w:cs="Arial"/>
        <w:sz w:val="22"/>
        <w:szCs w:val="22"/>
      </w:rPr>
      <w:fldChar w:fldCharType="separate"/>
    </w:r>
    <w:r w:rsidR="008B6E52">
      <w:rPr>
        <w:rStyle w:val="PageNumber"/>
        <w:rFonts w:ascii="Arial" w:hAnsi="Arial" w:cs="Arial"/>
        <w:noProof/>
        <w:sz w:val="22"/>
        <w:szCs w:val="22"/>
      </w:rPr>
      <w:t>2</w:t>
    </w:r>
    <w:r w:rsidRPr="004E324E">
      <w:rPr>
        <w:rStyle w:val="PageNumber"/>
        <w:rFonts w:ascii="Arial" w:hAnsi="Arial" w:cs="Arial"/>
        <w:sz w:val="22"/>
        <w:szCs w:val="22"/>
      </w:rPr>
      <w:fldChar w:fldCharType="end"/>
    </w:r>
  </w:p>
  <w:p w14:paraId="3FF989BF" w14:textId="63FA5D0E" w:rsidR="00A22BD8" w:rsidRPr="004E324E" w:rsidRDefault="00761278" w:rsidP="006A0662">
    <w:pPr>
      <w:pStyle w:val="Footer"/>
      <w:ind w:right="360"/>
      <w:rPr>
        <w:rFonts w:ascii="Arial" w:hAnsi="Arial" w:cs="Arial"/>
        <w:sz w:val="20"/>
        <w:szCs w:val="20"/>
      </w:rPr>
    </w:pPr>
    <w:r w:rsidRPr="004E324E">
      <w:rPr>
        <w:rFonts w:ascii="Arial" w:hAnsi="Arial" w:cs="Arial"/>
        <w:sz w:val="20"/>
        <w:szCs w:val="20"/>
      </w:rPr>
      <w:t>©English Language Education UoE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73D65" w14:textId="77777777" w:rsidR="008B4B6F" w:rsidRDefault="008B4B6F" w:rsidP="006A0662">
      <w:r>
        <w:separator/>
      </w:r>
    </w:p>
  </w:footnote>
  <w:footnote w:type="continuationSeparator" w:id="0">
    <w:p w14:paraId="77B7089A" w14:textId="77777777" w:rsidR="008B4B6F" w:rsidRDefault="008B4B6F" w:rsidP="006A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3C7B" w14:textId="77777777" w:rsidR="00761278" w:rsidRDefault="00761278">
    <w:pPr>
      <w:pStyle w:val="Header"/>
    </w:pPr>
    <w:r>
      <w:rPr>
        <w:noProof/>
        <w:lang w:eastAsia="en-GB"/>
      </w:rPr>
      <w:drawing>
        <wp:anchor distT="0" distB="0" distL="114300" distR="114300" simplePos="0" relativeHeight="251659264" behindDoc="0" locked="0" layoutInCell="1" allowOverlap="1" wp14:anchorId="55E61DBA" wp14:editId="0A8F46A3">
          <wp:simplePos x="0" y="0"/>
          <wp:positionH relativeFrom="margin">
            <wp:posOffset>-552450</wp:posOffset>
          </wp:positionH>
          <wp:positionV relativeFrom="paragraph">
            <wp:posOffset>-259715</wp:posOffset>
          </wp:positionV>
          <wp:extent cx="3171825" cy="723900"/>
          <wp:effectExtent l="0" t="0" r="9525" b="0"/>
          <wp:wrapSquare wrapText="bothSides"/>
          <wp:docPr id="3" name="Picture 3" descr="S:\Marketing\Photography &amp; illustration\Logos\COL\Centre for Open Learning\Centre for Open Learning\PNG\UoE_Centre for Open Learning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Photography &amp; illustration\Logos\COL\Centre for Open Learning\Centre for Open Learning\PNG\UoE_Centre for Open Learning_Logo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182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A707376">
      <w:t xml:space="preserve">                                </w:t>
    </w:r>
  </w:p>
  <w:p w14:paraId="7DB22996" w14:textId="1EB8B574" w:rsidR="00761278" w:rsidRDefault="00761278" w:rsidP="00761278">
    <w:pPr>
      <w:pStyle w:val="Header"/>
      <w:jc w:val="right"/>
      <w:rPr>
        <w:rFonts w:ascii="Arial" w:hAnsi="Arial" w:cs="Arial"/>
        <w:color w:val="17365D" w:themeColor="text2" w:themeShade="BF"/>
      </w:rPr>
    </w:pPr>
    <w:r w:rsidRPr="00761278">
      <w:rPr>
        <w:rFonts w:ascii="Arial" w:hAnsi="Arial" w:cs="Arial"/>
        <w:color w:val="17365D" w:themeColor="text2" w:themeShade="BF"/>
      </w:rPr>
      <w:t>English Language Education</w:t>
    </w:r>
  </w:p>
  <w:p w14:paraId="2F15E7A0" w14:textId="77777777" w:rsidR="00761278" w:rsidRPr="00761278" w:rsidRDefault="00761278" w:rsidP="00761278">
    <w:pPr>
      <w:pStyle w:val="Header"/>
      <w:jc w:val="right"/>
      <w:rPr>
        <w:rFonts w:ascii="Arial" w:hAnsi="Arial" w:cs="Arial"/>
        <w:color w:val="17365D"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43A3A"/>
    <w:multiLevelType w:val="hybridMultilevel"/>
    <w:tmpl w:val="332ED72E"/>
    <w:lvl w:ilvl="0" w:tplc="E9BC8C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5C4A6D"/>
    <w:multiLevelType w:val="hybridMultilevel"/>
    <w:tmpl w:val="FC7E3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B44F80"/>
    <w:multiLevelType w:val="multilevel"/>
    <w:tmpl w:val="2998FCF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212FDB"/>
    <w:multiLevelType w:val="hybridMultilevel"/>
    <w:tmpl w:val="3106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3A6DF5"/>
    <w:multiLevelType w:val="hybridMultilevel"/>
    <w:tmpl w:val="30A46FEC"/>
    <w:lvl w:ilvl="0" w:tplc="4B44F3E8">
      <w:start w:val="1"/>
      <w:numFmt w:val="lowerLetter"/>
      <w:pStyle w:val="ListParagraph"/>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5" w15:restartNumberingAfterBreak="0">
    <w:nsid w:val="6F876553"/>
    <w:multiLevelType w:val="hybridMultilevel"/>
    <w:tmpl w:val="005A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12FA1"/>
    <w:multiLevelType w:val="hybridMultilevel"/>
    <w:tmpl w:val="F8F0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F5426"/>
    <w:multiLevelType w:val="multilevel"/>
    <w:tmpl w:val="B4386A5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7"/>
  </w:num>
  <w:num w:numId="3">
    <w:abstractNumId w:val="4"/>
  </w:num>
  <w:num w:numId="4">
    <w:abstractNumId w:val="3"/>
  </w:num>
  <w:num w:numId="5">
    <w:abstractNumId w:val="1"/>
  </w:num>
  <w:num w:numId="6">
    <w:abstractNumId w:val="2"/>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C6"/>
    <w:rsid w:val="00003F48"/>
    <w:rsid w:val="0000794F"/>
    <w:rsid w:val="000125B7"/>
    <w:rsid w:val="000210C3"/>
    <w:rsid w:val="00030416"/>
    <w:rsid w:val="00034EF7"/>
    <w:rsid w:val="00064CA3"/>
    <w:rsid w:val="0007010D"/>
    <w:rsid w:val="00072357"/>
    <w:rsid w:val="000A404D"/>
    <w:rsid w:val="000D0E32"/>
    <w:rsid w:val="00107E93"/>
    <w:rsid w:val="00135DCF"/>
    <w:rsid w:val="001404D0"/>
    <w:rsid w:val="00194C21"/>
    <w:rsid w:val="001A15E0"/>
    <w:rsid w:val="001B0C4E"/>
    <w:rsid w:val="00273F7B"/>
    <w:rsid w:val="002A5769"/>
    <w:rsid w:val="002D0300"/>
    <w:rsid w:val="002D7EFA"/>
    <w:rsid w:val="002E19BB"/>
    <w:rsid w:val="00347030"/>
    <w:rsid w:val="00354161"/>
    <w:rsid w:val="003C3932"/>
    <w:rsid w:val="003C4902"/>
    <w:rsid w:val="003D2B06"/>
    <w:rsid w:val="003E5A5F"/>
    <w:rsid w:val="003F7F66"/>
    <w:rsid w:val="0041316A"/>
    <w:rsid w:val="004270C6"/>
    <w:rsid w:val="004737C5"/>
    <w:rsid w:val="00473CED"/>
    <w:rsid w:val="004831DF"/>
    <w:rsid w:val="004867A6"/>
    <w:rsid w:val="004E324E"/>
    <w:rsid w:val="005049EA"/>
    <w:rsid w:val="0051010B"/>
    <w:rsid w:val="00513396"/>
    <w:rsid w:val="00542444"/>
    <w:rsid w:val="00556955"/>
    <w:rsid w:val="00564AE3"/>
    <w:rsid w:val="005B1D4E"/>
    <w:rsid w:val="005C526A"/>
    <w:rsid w:val="00631036"/>
    <w:rsid w:val="006628C3"/>
    <w:rsid w:val="006645BE"/>
    <w:rsid w:val="006732C5"/>
    <w:rsid w:val="00687BFC"/>
    <w:rsid w:val="00696A73"/>
    <w:rsid w:val="006A0662"/>
    <w:rsid w:val="006B6DF5"/>
    <w:rsid w:val="006E173F"/>
    <w:rsid w:val="006E57A2"/>
    <w:rsid w:val="006F01D6"/>
    <w:rsid w:val="006F0ABA"/>
    <w:rsid w:val="006F7431"/>
    <w:rsid w:val="00755801"/>
    <w:rsid w:val="00756829"/>
    <w:rsid w:val="00761278"/>
    <w:rsid w:val="00771693"/>
    <w:rsid w:val="007A1499"/>
    <w:rsid w:val="007C6A3F"/>
    <w:rsid w:val="007E7F47"/>
    <w:rsid w:val="007F132F"/>
    <w:rsid w:val="00807DFF"/>
    <w:rsid w:val="00812887"/>
    <w:rsid w:val="008206D4"/>
    <w:rsid w:val="00832796"/>
    <w:rsid w:val="008A10C1"/>
    <w:rsid w:val="008A3D0A"/>
    <w:rsid w:val="008B4B6F"/>
    <w:rsid w:val="008B6E52"/>
    <w:rsid w:val="00990B6C"/>
    <w:rsid w:val="009C2C11"/>
    <w:rsid w:val="009E0BF1"/>
    <w:rsid w:val="009E161D"/>
    <w:rsid w:val="009F4C39"/>
    <w:rsid w:val="00A20CEC"/>
    <w:rsid w:val="00A22BD8"/>
    <w:rsid w:val="00A32678"/>
    <w:rsid w:val="00AA576B"/>
    <w:rsid w:val="00BB72D5"/>
    <w:rsid w:val="00BF5302"/>
    <w:rsid w:val="00C144A6"/>
    <w:rsid w:val="00C6000D"/>
    <w:rsid w:val="00C67797"/>
    <w:rsid w:val="00C75860"/>
    <w:rsid w:val="00CF5716"/>
    <w:rsid w:val="00CF721E"/>
    <w:rsid w:val="00D224C4"/>
    <w:rsid w:val="00D230D1"/>
    <w:rsid w:val="00D25111"/>
    <w:rsid w:val="00D409B4"/>
    <w:rsid w:val="00D6172D"/>
    <w:rsid w:val="00DA7B74"/>
    <w:rsid w:val="00DC63AC"/>
    <w:rsid w:val="00DF2F9B"/>
    <w:rsid w:val="00E61CC5"/>
    <w:rsid w:val="00FC064C"/>
    <w:rsid w:val="00FE57B2"/>
    <w:rsid w:val="09924994"/>
    <w:rsid w:val="1254D39D"/>
    <w:rsid w:val="2AE0D49F"/>
    <w:rsid w:val="55F912C1"/>
    <w:rsid w:val="6A1392FA"/>
    <w:rsid w:val="6A707376"/>
    <w:rsid w:val="7CEB5758"/>
    <w:rsid w:val="7F96F5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E8955D"/>
  <w14:defaultImageDpi w14:val="300"/>
  <w15:docId w15:val="{6790CB0C-266E-41DC-B6C7-F81E742E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70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70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70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270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270C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270C6"/>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42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70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70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E324E"/>
    <w:pPr>
      <w:numPr>
        <w:numId w:val="3"/>
      </w:numPr>
      <w:contextualSpacing/>
    </w:pPr>
    <w:rPr>
      <w:rFonts w:ascii="Arial" w:hAnsi="Arial" w:cs="Arial"/>
      <w:sz w:val="22"/>
      <w:szCs w:val="22"/>
    </w:rPr>
  </w:style>
  <w:style w:type="paragraph" w:styleId="Footer">
    <w:name w:val="footer"/>
    <w:basedOn w:val="Normal"/>
    <w:link w:val="FooterChar"/>
    <w:uiPriority w:val="99"/>
    <w:unhideWhenUsed/>
    <w:rsid w:val="006A0662"/>
    <w:pPr>
      <w:tabs>
        <w:tab w:val="center" w:pos="4320"/>
        <w:tab w:val="right" w:pos="8640"/>
      </w:tabs>
    </w:pPr>
  </w:style>
  <w:style w:type="character" w:customStyle="1" w:styleId="FooterChar">
    <w:name w:val="Footer Char"/>
    <w:basedOn w:val="DefaultParagraphFont"/>
    <w:link w:val="Footer"/>
    <w:uiPriority w:val="99"/>
    <w:rsid w:val="006A0662"/>
  </w:style>
  <w:style w:type="character" w:styleId="PageNumber">
    <w:name w:val="page number"/>
    <w:basedOn w:val="DefaultParagraphFont"/>
    <w:uiPriority w:val="99"/>
    <w:semiHidden/>
    <w:unhideWhenUsed/>
    <w:rsid w:val="006A0662"/>
  </w:style>
  <w:style w:type="paragraph" w:styleId="Header">
    <w:name w:val="header"/>
    <w:basedOn w:val="Normal"/>
    <w:link w:val="HeaderChar"/>
    <w:uiPriority w:val="99"/>
    <w:unhideWhenUsed/>
    <w:rsid w:val="006A0662"/>
    <w:pPr>
      <w:tabs>
        <w:tab w:val="center" w:pos="4320"/>
        <w:tab w:val="right" w:pos="8640"/>
      </w:tabs>
    </w:pPr>
  </w:style>
  <w:style w:type="character" w:customStyle="1" w:styleId="HeaderChar">
    <w:name w:val="Header Char"/>
    <w:basedOn w:val="DefaultParagraphFont"/>
    <w:link w:val="Header"/>
    <w:uiPriority w:val="99"/>
    <w:rsid w:val="006A0662"/>
  </w:style>
  <w:style w:type="paragraph" w:styleId="BalloonText">
    <w:name w:val="Balloon Text"/>
    <w:basedOn w:val="Normal"/>
    <w:link w:val="BalloonTextChar"/>
    <w:uiPriority w:val="99"/>
    <w:semiHidden/>
    <w:unhideWhenUsed/>
    <w:rsid w:val="005424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444"/>
    <w:rPr>
      <w:rFonts w:ascii="Lucida Grande" w:hAnsi="Lucida Grande" w:cs="Lucida Grande"/>
      <w:sz w:val="18"/>
      <w:szCs w:val="18"/>
    </w:rPr>
  </w:style>
  <w:style w:type="character" w:styleId="Hyperlink">
    <w:name w:val="Hyperlink"/>
    <w:basedOn w:val="DefaultParagraphFont"/>
    <w:uiPriority w:val="99"/>
    <w:unhideWhenUsed/>
    <w:rsid w:val="0051010B"/>
    <w:rPr>
      <w:color w:val="0000FF" w:themeColor="hyperlink"/>
      <w:u w:val="single"/>
    </w:rPr>
  </w:style>
  <w:style w:type="table" w:customStyle="1" w:styleId="TableGrid52">
    <w:name w:val="Table Grid52"/>
    <w:basedOn w:val="TableNormal"/>
    <w:next w:val="TableGrid"/>
    <w:uiPriority w:val="59"/>
    <w:rsid w:val="00034EF7"/>
    <w:rPr>
      <w:rFonts w:ascii="Verdana" w:hAnsi="Verdan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324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63159">
      <w:bodyDiv w:val="1"/>
      <w:marLeft w:val="0"/>
      <w:marRight w:val="0"/>
      <w:marTop w:val="0"/>
      <w:marBottom w:val="0"/>
      <w:divBdr>
        <w:top w:val="none" w:sz="0" w:space="0" w:color="auto"/>
        <w:left w:val="none" w:sz="0" w:space="0" w:color="auto"/>
        <w:bottom w:val="none" w:sz="0" w:space="0" w:color="auto"/>
        <w:right w:val="none" w:sz="0" w:space="0" w:color="auto"/>
      </w:divBdr>
      <w:divsChild>
        <w:div w:id="669874279">
          <w:marLeft w:val="0"/>
          <w:marRight w:val="0"/>
          <w:marTop w:val="0"/>
          <w:marBottom w:val="0"/>
          <w:divBdr>
            <w:top w:val="none" w:sz="0" w:space="0" w:color="auto"/>
            <w:left w:val="none" w:sz="0" w:space="0" w:color="auto"/>
            <w:bottom w:val="none" w:sz="0" w:space="0" w:color="auto"/>
            <w:right w:val="none" w:sz="0" w:space="0" w:color="auto"/>
          </w:divBdr>
          <w:divsChild>
            <w:div w:id="1749963849">
              <w:marLeft w:val="0"/>
              <w:marRight w:val="0"/>
              <w:marTop w:val="0"/>
              <w:marBottom w:val="0"/>
              <w:divBdr>
                <w:top w:val="none" w:sz="0" w:space="0" w:color="auto"/>
                <w:left w:val="none" w:sz="0" w:space="0" w:color="auto"/>
                <w:bottom w:val="none" w:sz="0" w:space="0" w:color="auto"/>
                <w:right w:val="none" w:sz="0" w:space="0" w:color="auto"/>
              </w:divBdr>
              <w:divsChild>
                <w:div w:id="15612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1A6933F15124BB36BFBF738319E53" ma:contentTypeVersion="7" ma:contentTypeDescription="Create a new document." ma:contentTypeScope="" ma:versionID="8fde07199e7ce295b47060645db78052">
  <xsd:schema xmlns:xsd="http://www.w3.org/2001/XMLSchema" xmlns:xs="http://www.w3.org/2001/XMLSchema" xmlns:p="http://schemas.microsoft.com/office/2006/metadata/properties" xmlns:ns2="65f304e9-27d4-4186-821b-65b5fa17be06" xmlns:ns3="6e16d123-1995-47bb-8c55-17202f581975" targetNamespace="http://schemas.microsoft.com/office/2006/metadata/properties" ma:root="true" ma:fieldsID="c2edca4e6e169c20a47d258162159c4b" ns2:_="" ns3:_="">
    <xsd:import namespace="65f304e9-27d4-4186-821b-65b5fa17be06"/>
    <xsd:import namespace="6e16d123-1995-47bb-8c55-17202f581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04e9-27d4-4186-821b-65b5fa17b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6d123-1995-47bb-8c55-17202f5819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3C92-F601-4F05-BF69-8762A0F4C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04e9-27d4-4186-821b-65b5fa17be06"/>
    <ds:schemaRef ds:uri="6e16d123-1995-47bb-8c55-17202f581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74D1D-7B44-47F0-9F5E-9B153C4BF8D1}">
  <ds:schemaRefs>
    <ds:schemaRef ds:uri="http://schemas.microsoft.com/sharepoint/v3/contenttype/forms"/>
  </ds:schemaRefs>
</ds:datastoreItem>
</file>

<file path=customXml/itemProps3.xml><?xml version="1.0" encoding="utf-8"?>
<ds:datastoreItem xmlns:ds="http://schemas.openxmlformats.org/officeDocument/2006/customXml" ds:itemID="{12C56DAA-2C23-41F3-A9EE-18EBF50D7D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604741-FC09-4522-B930-023CB23E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MURRAY Rowan</cp:lastModifiedBy>
  <cp:revision>3</cp:revision>
  <cp:lastPrinted>2015-01-07T12:44:00Z</cp:lastPrinted>
  <dcterms:created xsi:type="dcterms:W3CDTF">2021-05-14T10:46:00Z</dcterms:created>
  <dcterms:modified xsi:type="dcterms:W3CDTF">2021-05-14T10:54:00Z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0x010100B3A1A6933F15124BB36BFBF738319E53</vt:lpwstr>
  </property>
</Properties>
</file>